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A2" w:rsidRPr="0038772C" w:rsidRDefault="00FF71A2" w:rsidP="00FF71A2">
      <w:pPr>
        <w:jc w:val="center"/>
        <w:rPr>
          <w:rFonts w:ascii="Times New Roman" w:hAnsi="Times New Roman" w:cs="Times New Roman"/>
          <w:bCs/>
          <w:sz w:val="24"/>
          <w:szCs w:val="24"/>
        </w:rPr>
      </w:pPr>
      <w:r w:rsidRPr="0038772C">
        <w:rPr>
          <w:rFonts w:ascii="Times New Roman" w:hAnsi="Times New Roman" w:cs="Times New Roman"/>
          <w:bCs/>
          <w:sz w:val="24"/>
          <w:szCs w:val="24"/>
        </w:rPr>
        <w:t>V E N D I M</w:t>
      </w:r>
    </w:p>
    <w:p w:rsidR="00B72A24" w:rsidRPr="0038772C" w:rsidRDefault="00B72A24" w:rsidP="00FF71A2">
      <w:pPr>
        <w:jc w:val="center"/>
        <w:rPr>
          <w:rFonts w:ascii="Times New Roman" w:hAnsi="Times New Roman" w:cs="Times New Roman"/>
          <w:sz w:val="24"/>
          <w:szCs w:val="24"/>
        </w:rPr>
      </w:pPr>
      <w:r w:rsidRPr="0038772C">
        <w:rPr>
          <w:rFonts w:ascii="Times New Roman" w:hAnsi="Times New Roman" w:cs="Times New Roman"/>
          <w:bCs/>
          <w:sz w:val="24"/>
          <w:szCs w:val="24"/>
        </w:rPr>
        <w:t>Nr. 1104 datë 28.12.2015</w:t>
      </w:r>
      <w:bookmarkStart w:id="0" w:name="_GoBack"/>
      <w:bookmarkEnd w:id="0"/>
    </w:p>
    <w:p w:rsidR="00FF71A2" w:rsidRPr="0038772C" w:rsidRDefault="00FF71A2" w:rsidP="00FF71A2">
      <w:pPr>
        <w:jc w:val="center"/>
        <w:rPr>
          <w:rFonts w:ascii="Times New Roman" w:hAnsi="Times New Roman" w:cs="Times New Roman"/>
          <w:sz w:val="24"/>
          <w:szCs w:val="24"/>
        </w:rPr>
      </w:pPr>
      <w:r w:rsidRPr="0038772C">
        <w:rPr>
          <w:rFonts w:ascii="Times New Roman" w:hAnsi="Times New Roman" w:cs="Times New Roman"/>
          <w:bCs/>
          <w:sz w:val="24"/>
          <w:szCs w:val="24"/>
        </w:rPr>
        <w:t>PËR</w:t>
      </w:r>
    </w:p>
    <w:p w:rsidR="00FF71A2" w:rsidRPr="0038772C" w:rsidRDefault="00FF71A2" w:rsidP="00FF71A2">
      <w:pPr>
        <w:jc w:val="center"/>
        <w:rPr>
          <w:rFonts w:ascii="Times New Roman" w:hAnsi="Times New Roman" w:cs="Times New Roman"/>
          <w:sz w:val="24"/>
          <w:szCs w:val="24"/>
        </w:rPr>
      </w:pPr>
      <w:r w:rsidRPr="0038772C">
        <w:rPr>
          <w:rFonts w:ascii="Times New Roman" w:hAnsi="Times New Roman" w:cs="Times New Roman"/>
          <w:bCs/>
          <w:sz w:val="24"/>
          <w:szCs w:val="24"/>
        </w:rPr>
        <w:t>MIRATIMIN E KËRKESAVE PËR PARANDALIMIN E SHKARKIMIT TË MBETJEVE, TË KRIJUARA NGA ANIJET DHE TEPRICAT NGA NGARKESAT, NË DET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Në mbështetje të nenit 100 të Kushtetutës dhe të nenit 40, të ligjit nr.10463, datë 22.9.2011, “Për menaxhimin e integruar të mbetjeve”, të ndryshuar, me propozimin e ministrit të Mjedisit dhe ministrit të Transportit dhe Infrastrukturës, Këshilli i Ministrave </w:t>
      </w:r>
    </w:p>
    <w:p w:rsidR="00FF71A2" w:rsidRPr="0038772C" w:rsidRDefault="00FF71A2" w:rsidP="00FF71A2">
      <w:pPr>
        <w:jc w:val="center"/>
        <w:rPr>
          <w:rFonts w:ascii="Times New Roman" w:hAnsi="Times New Roman" w:cs="Times New Roman"/>
          <w:sz w:val="24"/>
          <w:szCs w:val="24"/>
        </w:rPr>
      </w:pPr>
      <w:r w:rsidRPr="0038772C">
        <w:rPr>
          <w:rFonts w:ascii="Times New Roman" w:hAnsi="Times New Roman" w:cs="Times New Roman"/>
          <w:bCs/>
          <w:sz w:val="24"/>
          <w:szCs w:val="24"/>
        </w:rPr>
        <w:t>V E N D O S 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 Përcaktimin, vendosjen dhe miratimin e kërkesave për parandalimin e shkarkimit të mbetjeve, të krijuara nga anijet dhe tepricat nga ngarkesat e tyre, në det, me synim mbrojtjen e mjedisit detar nga anijet, gjatë përdorimit të porteve të Republikës së Shqipërisë.</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 Rregullat e përcaktuara në këtë vendim do të zbatohen për:</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a) të gjitha anijet, përfshirë mjetet e peshkimit dhe mjetet lundruese për argëtim, pavarësisht nga flamuri, shenja e thirrjes apo veprimtaria e tyre brenda një porti shqiptar;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b) të gjitha portet e Shqipërisë që ankorohen nga anijet e përcaktuara në shkronjën “a”, më sipër.</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3. Drejtoria e Përgjithshme Detare siguron që anijet e përfshira në shkronjën “a”, të pikës 2, të këtij vendimi, të dorëzojnë mbetjet e krijuara nga anijet dhe tepricat nga ngarkesat e tyre, në mënyrë të vazhdueshme, tek operatoret e licencuar për grumbullimin dhe trajtimin e tyre, referuar legjislacionit në fuqi.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4. Përkufizimet e nenit 3, të ligjit nr.10463, datë 22.9.2011, “Për menaxhimin e integruar të mbetjeve”, të ndryshuar, të ligjit nr.9130, datë 8.9.2003, “Për autoritetin portual”, ligjit nr.10109, datë 2.4.2009, “Për administratën detare të Republikës së Shqipërisë”, dhe ligjit nr. 9251, datë 8.7.2004, “Kodi Detar i Republikës së Shqipërisë”, kanë të njëjtin kuptim edhe në këtë vendim, ndërsa termat e mëposhtëm nënkuptojnë:</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a) “Certifikata e dorëzimit të mbetjeve”, formulari (që jepet në aneksin IV, të këtij vendimi) i plotësuar, që vërteton se anija ia ka dorëzuar mbetjet operatorit të instalimeve marrëse, sipas procedurave të përcaktuara në këtë vendim.</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b) “Marpol 73/78”, Konventa Ndërkombëtare për parandalimin e ndotjes nga anijet, 1973, të ndryshuar nga Protokolli i 1978 në lidhje me të, i miratuar me ligjin nr.9594, datë 27.7.2006, “Për aderimin e Republikës së Shqipërisë në Konventën Ndërkombëtare Detare për Parandalimin e Ndotjeve nga anijet, 1973, të ndryshuar me Protokollin e vitit 1973”.</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lastRenderedPageBreak/>
        <w:t>c) “Mjet lundrues për argëtim”, mjet lundrues i çdo lloji, pavarësisht mënyrës së forcës shtytëse, që përdoret për qëllime sportive ose jo.</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ç) “(Mjet) Anije peshkimi”, çdo anije e pajisur me mjete përkatëse ose që përdoret për kapjen e gjallesave ujore.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d) “IMO”, Organizata Ndërkombëtare Detare.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dh) “Operator”, në kuptim të këtij vendimi, çdo person fizik ose juridik, mbajtës i lejeve dhe licencave, referuar legjislacionit në fuqi, për ushtrimin e veprimtarisë së tërheqjes së mbetjeve në portet dhe radat e tyre.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e) “Tepricat nga ngarkesat”, tepricat nga ngarkesat detare, përfshirë mbetjet e çdo lloji të ngarkesës në bord, nga mbajtëset e ngarkesave ose çisternat, të cilat teprojnë pas përfundimit të procedurave të shkarkimit dhe pastrimit.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ë) “Tarifë ekologjike e mbetjeve”, pagesa e detyrueshme që kryen çdo anije dhe mjet lundrues që prek portet e hapura dhe radat e tyre, për mbulimin e kostove të instalimeve marrëse portuale për mbetjet e krijuara nga anijet, përfshirë trajtimin dhe asgjësimin e tyre nga operatorët e licencuar, të kontraktuar nga Drejtoria e Përgjithshme Detare, që ofrojnë shërbimin e tërheqjes së mbetjeve, referuar aneksit VI, bashkëngjitur.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5. Drejtoria e Përgjithshme Detare sigurohet që kapacitetet e instalimeve marrëse portuale, të instaluara nga operatorët e licencuar, të jenë të mjaftueshme dhe të plotësojnë nevojat e anijeve, pa i shkaktuar atyre vonesa të pajustifikuara. Për këtë gjë, kapiteneritë e porteve ngarkohen për verifikimin e kapaciteteve të instalimeve portuale marrëse dhe, në rastet e verifikimit të mosefikasitetit të tyre, detyrohen të njoftojnë Drejtorinë e Përgjithshme Detare për marrjen e masave.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6. Drejtoria e Përgjithshme Detare ngarkohet për transportin, në përputhje me kërkesat e IMO-s, duke përcaktuar, me urdhër, procedurat e raportimit në Kapitenerinë e Portit, në rastet kur pretendohet për efikasitet të pamjaftueshëm të instalimeve marrëse portuale.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7. Operatoret e licencuar, të kontraktuar nga Drejtoria e Përgjithshme Detare, duhet të zotërojnë kapacitetet e nevojshme për të tërhequr sasinë dhe llojet e mbetjeve, të krijuara nga anijet që përdorin atë port normalisht, dhe tepricat nga ngarkesat e tyre, duke marrë parasysh nevojat funksionale të përdoruesve të portit, madhësinë dhe pozicionin gjeografik të portit, llojin e anijeve që japin shenjën e thirrjes në atë port, si dhe të garantojnë trajtimin e këtyre mbetjeve në impiantet e tyre, të certifikuar dhe licencuar sipas legjislacionit mjedisor në fuqi dhe standardeve e normave të lejuara evropiane.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 xml:space="preserve">8. Drejtoria e Përgjithshme Detare, në konsultim me palët e interesuara, veçanërisht me përdoruesit e porteve, harton dhe zbaton, për çdo port, një plan të përshtatshëm për marrjen dhe trajtimin e mbetjeve, duke kontraktuar operatorë të licencuar, që plotësojnë standardet, referuar </w:t>
      </w:r>
      <w:r w:rsidRPr="0038772C">
        <w:rPr>
          <w:rFonts w:ascii="Times New Roman" w:hAnsi="Times New Roman" w:cs="Times New Roman"/>
          <w:sz w:val="24"/>
          <w:szCs w:val="24"/>
        </w:rPr>
        <w:lastRenderedPageBreak/>
        <w:t>kërkesave të pikave 5 deri 24, të këtij vendimi. Kërkesat specifike për hartimin e këtyre planeve përcaktohen në Aneksin I, bashkëlidhur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9. Plani, referuar në pikën 8, më sipër, hartohet në nivel rajonal ose kombëtar, me përfshirjen e çdo porti, duke siguruar që nevojat për instalimet marrëse dhe disponibiliteti i tyre të specifikohen individualisht, për çdo port, dhe miratohet me urdhër të ministrit përgjegjës për transportin.</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10. Ministria përgjegjëse për transportin vlerëson dhe monitoron më tej zbatimin e planit, referuar në pikat 8 e 9. Plani rishikohet dhe miratohet, të paktën, çdo tre vjet si dhe pas ndryshimeve të rëndësishme në funksionimin e portit, apo në rastet kur operatorët e licencuar prezantojnë një projekt të ri, sipas standerdeve më të fundit të teknologjisë, i cili garanton menaxhimin më të mirë të mundshëm të mbetjeve portuale të anijeve dhe mjeteve lundruese.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11. Kapiteni i anijes, që detyrohet të ankorohet në një port në Shqipëri, duhet të plotësojë, me anë të vetdeklarimit, me vërtetësi dhe saktësi, formularin e paraqitur në Aneksin II, dhe t’ia njoftojë Kapitenerisë së Portit, nëpërmjet agjencive detare,: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a) të paktën 24 orë para mbërritjes, në qoftë se porti i thirrjes është i njohur;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b) sapo të njihet porti i thirrjes, në qoftë se informacioni i kërkuar sigurohet në më pak se 24 orë përpara mbërritjes;</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c) pak kohë pas largimit nga porti i mëparshëm, në qoftë se kohëzgjatja e udhëtimit është më pak se 24 orë.</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12. Kapiteneria e Portit i dërgon një kopje të njoftimit, të përcaktuar në pikën 11, të këtij vendimi, Autoritetit Portual dhe operatorit të instalimeve marrëse portuale. Operatori është i detyruar të mbajë një regjistër për njoftimet dhe certifikatat e dorëzimit të mbetjeve dhe t’ia përcjellë ato, çdo muaj, Drejtorisë së Përgjithshme Detare.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13. Kapiteni i anijes ruan kopje të informacionit, të përcaktuar në pikën 11, të këtij vendimi, për një periudhë dyvjeçare, në bordin e anijes, dhe, me kërkesën e tyre, ua vë në dispozicion  Drejtorisë së Përgjithshme Detare ose organeve të tjera, të caktuara për këtë qëllim nga ministria përgjegjëse për transportin dhe ministria përgjegjëse për mjedisin.</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14. Kapiteni i anijes që ankorohet në një port shqiptar, përpara largimit nga porti, i dorëzon të gjitha mbetjet e krijuara nga anija, sipas aneksit IV, të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15. Anija nuk është e detyruar të dorëzojë çdo ditë mbetjet e krijuara, por mund të vazhdojë për në portin tjetër të thirrjes pa i dorëzuar ato, në qoftë se, sipas informacionit të dhënë, në përputhje me aneksin II, ka kapacitet magazinimi të mjaftueshëm për të gjitha mbetjet e krijuara dhe ato të mundshme të krijohen gjatë udhëtimit të planifikuar të anijes deri në portin e dorëzimit.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 xml:space="preserve">16. Drejtoria e Përgjithshme Detare, kur ka arsye të mjaftueshme për të besuar se porti i planifikuar për dorëzimin e mbetjeve nuk disponon instalimet e duhura ose në qoftë se ky port </w:t>
      </w:r>
      <w:r w:rsidRPr="0038772C">
        <w:rPr>
          <w:rFonts w:ascii="Times New Roman" w:hAnsi="Times New Roman" w:cs="Times New Roman"/>
          <w:sz w:val="24"/>
          <w:szCs w:val="24"/>
        </w:rPr>
        <w:lastRenderedPageBreak/>
        <w:t>është i panjohur dhe, si pasojë, ka rrezik që mbetjet të shkarkohen në det, merr të gjitha masat e nevojshme për të parandaluar ndotjen detare dhe/ose i kërkon anijes të dorëzojë mbetjet e saj përpara largimit nga porti.</w:t>
      </w:r>
    </w:p>
    <w:p w:rsidR="00FF71A2" w:rsidRPr="0038772C" w:rsidRDefault="00FF71A2" w:rsidP="00FF71A2">
      <w:pPr>
        <w:jc w:val="both"/>
        <w:rPr>
          <w:rFonts w:ascii="Times New Roman" w:hAnsi="Times New Roman" w:cs="Times New Roman"/>
          <w:sz w:val="28"/>
          <w:szCs w:val="28"/>
        </w:rPr>
      </w:pPr>
      <w:r w:rsidRPr="0038772C">
        <w:rPr>
          <w:rFonts w:ascii="Times New Roman" w:hAnsi="Times New Roman" w:cs="Times New Roman"/>
          <w:sz w:val="28"/>
          <w:szCs w:val="28"/>
        </w:rPr>
        <w:t>17. Ministria përgjegjëse për transportin, pas konsultimeve me ministrinë përgjegjëse për mjedisin, sigurojnë që kostot e instalimeve marrëse portuale për mbetjet e krijuara nga anijet, përfshirë trajtimin dhe largimin e tyre, të mbulohen përmes mbledhjes së tarifës ekologjike, të detyruar për anijet dhe mjetet lundruese për mbetjet.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18. Ministri përgjegjës për transportin dhe ministri përgjegjës për financat, me propozim të Drejtorisë së Përgjithshme Detare, bazuar në modelet e ngjashme të porteve të rajonit, në përputhje me procedurat e përcaktuara në nenin 84, të ligjin nr.9251, datë 8.7.2004, “Kodi Detar i Republikës së Shqipërisë”, miratojnë, me udhëzim të përbashkët, vlerën e tarifës ekologjike te detyruar për anijet dhe mjetet lundruese, me qëllim marrjen e shërbimit, referuar në pikën 17, më sipër. Përllogaritja e përcaktimit të vlerës së kësaj tarife ekologjike bëhet bazuar në tonazhin përkatës të çdo  mjeti lundrues, referuar parimit “Ndotësi paguan”.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19. Tarifën ekologjike të marrjes dhe përpunimit të mbetjeve e paguajnë të gjitha anijet dhe mjetet e lundrimit që ankorohen në portet e hapura dhe radat e tyre, pranë Drejtorisë së Përgjithshme Detare dhe, më pas, kjo e fundit likuidon, për çdo rast shërbimi, operatorin e instalimeve marrëse portuale, referuar kontratës përkatëse.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20. Tarifa ekologjike dhe sistemi i mbulimit të kostos, për përdorimin e instalimeve marrëse portuale, duhet të mos stimulojnë anijet dhe mjetet lundruese që të shkarkojnë mbetjet e tyre në det.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21. Tarifa ekologjike për anijet e peshkimit, anijet e shërbimit detar (rimorkiator, pilotina dhe bargat e ndryshme, që përdoren për punime në port), si dhe mjetet që përdoren për argëtim (jahtet, skafet sprotive, mjetet e vogla për gjueti amatore si dhe mjetet e vogla detare me më pak se 12 pasagjerë) do të jetë e ndryshme nga ajo e përcaktuar në pikën 20, të këtij vendimi. Ajo do t’i nënshtrohet një regjimi tjetër, për vet llojin e aktivitetit që ato ushtrojnë, sipas modelit më të përshtatshëm që do të propozohet nga Drejtoria e Përgjithshme Detare, dhe do të miratohet me udhëzim të përbashkët të ministrit përgjegjës për transportin dhe ministrit përgjegjës për financat.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22. Kapiteni i anijes që akomodohet në portet e hapura dhe radat e tyre në Republikën e Shqiperisë duhet të sigurojë që tepricat nga ngarkesat të dorëzohen në një instalim marrës portual, në përputhje me dispozitat Marpol 73/78. Përdoruesi i instalimeve marrëse paguan tarifën për dorëzimin e tepricave nga ngarkesat.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23. Kontrolli Shtetëror Portual/Kapiteneria e Portit duhet të sigurojë që çdo anije të jetë objekt inspektimi për verifikimin e përputhshmërisë së saj me rregullat e përcaktuara në pikat 14, 15, 16 e 24, të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lastRenderedPageBreak/>
        <w:t>24. Kontrolli Shtetëror Portual/Kapiteneria e Portit, kur inspekton anijet e autorizuara për të mbajtur jo më shumë se 12 pasagjerë, përveç mjeteve të peshkimit dhe mjeteve lundruese për argëtim, gjatë inspektimit:</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a) vepron në kuadër të ligjit nr.</w:t>
      </w:r>
      <w:r w:rsidR="00DA3703" w:rsidRPr="0038772C">
        <w:rPr>
          <w:rFonts w:ascii="Times New Roman" w:hAnsi="Times New Roman" w:cs="Times New Roman"/>
          <w:sz w:val="24"/>
          <w:szCs w:val="24"/>
        </w:rPr>
        <w:t xml:space="preserve"> </w:t>
      </w:r>
      <w:r w:rsidRPr="0038772C">
        <w:rPr>
          <w:rFonts w:ascii="Times New Roman" w:hAnsi="Times New Roman" w:cs="Times New Roman"/>
          <w:sz w:val="24"/>
          <w:szCs w:val="24"/>
        </w:rPr>
        <w:t>9852, datë 26.12.2007, “Për aderimin e Republikës së Shqipërisë në Memorandumin e Mirëkuptimit, “Për Kontrollin Shtetëror Portual”;</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b) në qoftë se nuk bindet nga rezultatet e këtij inspektimi, duhet të sigurojë që anija të mos largohet nga porti pa dorëzuar, sipas pikave 14, 15 e 16, të këtij vendimi, mbetjet e krijuara dhe tepricat nga ngarkesat e saj në instalimin marrës portual;</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c) informon autoritetin kompetent të portit tjetër të thirrjes, kur ka të dhëna të sigurta se anija ka dalë në det pa plotësuar rregullat e përcaktuara në pikat 14, 15 e 16, të këtij vendimi. Ky i fundit, përveç sa parashikohet në pikën 30, të këtij vendimi, nuk duhet ta lejojë anijen të largohet nga ai port derisa të kryejë një vlerësim më të detajuar të zbatimit të këtij vendimi, veçanërisht të saktësisë së çdo informacioni të dhënë, sipas pikave 11, 12 e 13, të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25. Drejtoria e Përgjithshme Detare përcakton procedurat e kontrollit që sigurojnë plotësimin e kërkesave të këtij vendimi nga mjetet e peshkimit dhe mjeteve lundruese për argëtim, të autorizuara të mbajnë jo më shumë se 12 pasagjerë, anijet e shërbimit detar, rimorkiatorët, pilotazhet,bargat etj.</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26. Ministria përgjegjëse për transportin duhet të:</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a) marrë të gjitha masat e nevojshme për të siguruar që kapitenët e anijeve, operatorët e instalimeve marrëse portuale dhe personat e tjerë të interesuar të informohen në mënyrën e duhur dhe të plotësojnë detyrimet që u burojnë nga ky vendim;</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b) bashkëpunojë me autoritetet përkatëse ndërkombëtare, përfshirë IMO-n, dhe çdo ent tjetër tregtar, për të siguruar zbatimin efektiv të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c) sigurojë që informacioni i njoftuar nga kapitenët e anijeve, në përputhje me pikat 11, 12 e 13, të këtij vendimi, të shqyrtohet në mënyrën e duhur;</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ç) sigurojë që formalitetet, në lidhje me përdorimin e instalimeve marrëse portuale, të jenë të thjeshta e të shpejta dhe nxitin kapitenët e anijeve të përdorin instalimet marrëse portuale e të shmangin vonesat e pajustifikuara të anijeve;</w:t>
      </w:r>
    </w:p>
    <w:p w:rsidR="00FF71A2" w:rsidRPr="0038772C" w:rsidRDefault="00FF71A2" w:rsidP="00FF71A2">
      <w:pPr>
        <w:jc w:val="both"/>
        <w:rPr>
          <w:rFonts w:ascii="Times New Roman" w:hAnsi="Times New Roman" w:cs="Times New Roman"/>
          <w:sz w:val="28"/>
          <w:szCs w:val="28"/>
        </w:rPr>
      </w:pPr>
      <w:r w:rsidRPr="0038772C">
        <w:rPr>
          <w:rFonts w:ascii="Times New Roman" w:hAnsi="Times New Roman" w:cs="Times New Roman"/>
          <w:sz w:val="28"/>
          <w:szCs w:val="28"/>
        </w:rPr>
        <w:t>d) sigurojë që trajtimi, nxjerrja ose largimi i mbetjeve të krijuara nga anijet dhe tepricat nga ngarkesat e tyre të kryhen vetem nga operatorë të licencuar dhe të miratuar nga Ministria e Mjedisit, me lejet dhe licencat përkatëse, referuar legjislacionit në fuqi.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dh) informojë të gjitha palët e përfshira në dorëzimin ose marrjen e mbetjeve të krijuara nga anijet ose tepricat nga ngarkesat e tyre, për efekt kompesimi për dëmin e shkaktuar nga vonesa të pajustifikuara, në përputhje me Kodin Civil dhe Kodin Detar të Republikës së Shqipërisë.</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lastRenderedPageBreak/>
        <w:t>27. Anija që ka dorëzuar mbetjet e krijuara prej saj mund të largohet nga porti.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28. Ministria përgjegjëse për transportin bashkëpunon me autoritetet përkatëse ndërkombëtare, përfshirë IMO-n, për ngritjen e një sistemi të përshtatshëm informacioni, identifikimi të anijeve dhe monitorimi, që:</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a) lehtëson identifikimin e anijeve që nuk kanë dorëzuar mbetjet e krijuara dhe tepricat nga ngarkesat e tyre, sipas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b) lejon të vlerësohet nëse ëshë arritur qëllimi i përcaktuar në pikën 27, të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29. Ministria përgjegjëse për transportin bashkëpunon me autoritetet përkatëse ndërkombëtare, përfshirë IMO-n, për përcaktimin e kritereve të përbashkëta për identifikimin e anijeve.</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30. Shkeljet e dispozitave të këtij vendimi, kur nuk përbëjnë vepër penale, përbëjnë kundërvajtje administrative dhe ndëshkohen sipas pikës 38, të nenit 62, të ligjit nr.10463, datë 22.9.2011, “Për menaxhimin e integruar të mbetjeve”, të ndryshuar.</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31. Drejtoria e Përgjithshme Detare paraqet çdo vit, në ministrinë përgjegjëse për mjedisin dhe në ministrinë përgjegjëse për transportin, raportin për zbatimin e këtij vendimi.</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32. Ministria përgjegjëse për mjedisin dhe ministria përgjegjëse për transportin bashkëpunojnë me Drejtorinë e Përgjithshme Detare për të siguruar përputhshmëri me parashikimet në fuqi të IMO-s, në qoftë se është i nevojshëm përmirësimi i regjimit të përcaktuar nga ky vendim, por pa zgjeruar objektin e këtij vendimi, referencat në instrumentet IMO dhe anekset e këtij vendimi. </w:t>
      </w:r>
    </w:p>
    <w:p w:rsidR="00FF71A2" w:rsidRPr="0038772C" w:rsidRDefault="00FF71A2" w:rsidP="00FF71A2">
      <w:pPr>
        <w:jc w:val="both"/>
        <w:rPr>
          <w:rFonts w:ascii="Times New Roman" w:hAnsi="Times New Roman" w:cs="Times New Roman"/>
          <w:sz w:val="24"/>
          <w:szCs w:val="24"/>
        </w:rPr>
      </w:pPr>
      <w:r w:rsidRPr="0038772C">
        <w:rPr>
          <w:rFonts w:ascii="Times New Roman" w:hAnsi="Times New Roman" w:cs="Times New Roman"/>
          <w:sz w:val="24"/>
          <w:szCs w:val="24"/>
        </w:rPr>
        <w:t>33. Ngarkohen ministria përgjegjëse për transportin, ministria përgjegjëse për mjedisin dhe Drejtoria e Përgjithshme Detare për ndjekjen e zbatimit të këtij vendimi.</w:t>
      </w:r>
    </w:p>
    <w:p w:rsidR="002F6B2F" w:rsidRPr="0038772C" w:rsidRDefault="00FF71A2" w:rsidP="00DA3703">
      <w:pPr>
        <w:jc w:val="both"/>
        <w:rPr>
          <w:rFonts w:ascii="Times New Roman" w:hAnsi="Times New Roman" w:cs="Times New Roman"/>
          <w:sz w:val="24"/>
          <w:szCs w:val="24"/>
        </w:rPr>
      </w:pPr>
      <w:r w:rsidRPr="0038772C">
        <w:rPr>
          <w:rFonts w:ascii="Times New Roman" w:hAnsi="Times New Roman" w:cs="Times New Roman"/>
          <w:sz w:val="24"/>
          <w:szCs w:val="24"/>
        </w:rPr>
        <w:t>Ky vendim hyn në fuqi pas botimit në “Fletoren zyrtare”. </w:t>
      </w:r>
    </w:p>
    <w:p w:rsidR="00B72A24" w:rsidRPr="0038772C" w:rsidRDefault="00B72A24" w:rsidP="00B72A24">
      <w:pPr>
        <w:jc w:val="center"/>
        <w:rPr>
          <w:rFonts w:ascii="Times New Roman" w:hAnsi="Times New Roman" w:cs="Times New Roman"/>
          <w:sz w:val="24"/>
          <w:szCs w:val="24"/>
        </w:rPr>
      </w:pPr>
      <w:r w:rsidRPr="0038772C">
        <w:rPr>
          <w:rFonts w:ascii="Times New Roman" w:hAnsi="Times New Roman" w:cs="Times New Roman"/>
          <w:sz w:val="24"/>
          <w:szCs w:val="24"/>
        </w:rPr>
        <w:t>KRYEMINISTRI</w:t>
      </w:r>
    </w:p>
    <w:p w:rsidR="00B72A24" w:rsidRPr="0038772C" w:rsidRDefault="00B72A24" w:rsidP="00B72A24">
      <w:pPr>
        <w:jc w:val="center"/>
        <w:rPr>
          <w:rFonts w:ascii="Times New Roman" w:hAnsi="Times New Roman" w:cs="Times New Roman"/>
          <w:sz w:val="24"/>
          <w:szCs w:val="24"/>
        </w:rPr>
      </w:pPr>
      <w:r w:rsidRPr="0038772C">
        <w:rPr>
          <w:rFonts w:ascii="Times New Roman" w:hAnsi="Times New Roman" w:cs="Times New Roman"/>
          <w:sz w:val="24"/>
          <w:szCs w:val="24"/>
        </w:rPr>
        <w:t>Edi Rama</w:t>
      </w:r>
    </w:p>
    <w:p w:rsidR="00B72A24" w:rsidRPr="0038772C" w:rsidRDefault="00B72A24" w:rsidP="00B72A24">
      <w:pPr>
        <w:autoSpaceDE w:val="0"/>
        <w:autoSpaceDN w:val="0"/>
        <w:adjustRightInd w:val="0"/>
        <w:spacing w:before="240" w:after="0" w:line="240" w:lineRule="auto"/>
        <w:jc w:val="center"/>
        <w:outlineLvl w:val="0"/>
        <w:rPr>
          <w:rFonts w:ascii="Times New Roman" w:eastAsia="Calibri" w:hAnsi="Times New Roman" w:cs="Times New Roman"/>
          <w:iCs/>
          <w:sz w:val="24"/>
          <w:szCs w:val="20"/>
          <w:lang w:val="it-IT" w:eastAsia="en-GB"/>
        </w:rPr>
      </w:pPr>
    </w:p>
    <w:p w:rsidR="00B72A24" w:rsidRPr="0038772C" w:rsidRDefault="00B72A24" w:rsidP="00B72A24">
      <w:pPr>
        <w:autoSpaceDE w:val="0"/>
        <w:autoSpaceDN w:val="0"/>
        <w:adjustRightInd w:val="0"/>
        <w:spacing w:before="240" w:after="0" w:line="240" w:lineRule="auto"/>
        <w:jc w:val="center"/>
        <w:outlineLvl w:val="0"/>
        <w:rPr>
          <w:rFonts w:ascii="Times New Roman" w:eastAsia="Calibri" w:hAnsi="Times New Roman" w:cs="Times New Roman"/>
          <w:iCs/>
          <w:sz w:val="24"/>
          <w:szCs w:val="20"/>
          <w:lang w:val="it-IT" w:eastAsia="en-GB"/>
        </w:rPr>
      </w:pPr>
    </w:p>
    <w:p w:rsidR="00B72A24" w:rsidRPr="0038772C" w:rsidRDefault="00B72A24" w:rsidP="00B72A24">
      <w:pPr>
        <w:autoSpaceDE w:val="0"/>
        <w:autoSpaceDN w:val="0"/>
        <w:adjustRightInd w:val="0"/>
        <w:spacing w:before="240" w:after="0" w:line="240" w:lineRule="auto"/>
        <w:jc w:val="center"/>
        <w:outlineLvl w:val="0"/>
        <w:rPr>
          <w:rFonts w:ascii="Times New Roman" w:eastAsia="Calibri" w:hAnsi="Times New Roman" w:cs="Times New Roman"/>
          <w:iCs/>
          <w:sz w:val="24"/>
          <w:szCs w:val="20"/>
          <w:lang w:val="it-IT" w:eastAsia="en-GB"/>
        </w:rPr>
      </w:pPr>
    </w:p>
    <w:p w:rsidR="00B72A24" w:rsidRPr="0038772C" w:rsidRDefault="00B72A24" w:rsidP="00B72A24">
      <w:pPr>
        <w:autoSpaceDE w:val="0"/>
        <w:autoSpaceDN w:val="0"/>
        <w:adjustRightInd w:val="0"/>
        <w:spacing w:before="240" w:after="0" w:line="240" w:lineRule="auto"/>
        <w:jc w:val="center"/>
        <w:outlineLvl w:val="0"/>
        <w:rPr>
          <w:rFonts w:ascii="Times New Roman" w:eastAsia="Calibri" w:hAnsi="Times New Roman" w:cs="Times New Roman"/>
          <w:iCs/>
          <w:sz w:val="24"/>
          <w:szCs w:val="20"/>
          <w:lang w:val="it-IT" w:eastAsia="en-GB"/>
        </w:rPr>
      </w:pPr>
    </w:p>
    <w:p w:rsidR="00B72A24" w:rsidRPr="0038772C" w:rsidRDefault="00B72A24" w:rsidP="00B72A24">
      <w:pPr>
        <w:autoSpaceDE w:val="0"/>
        <w:autoSpaceDN w:val="0"/>
        <w:adjustRightInd w:val="0"/>
        <w:spacing w:before="240" w:after="0" w:line="240" w:lineRule="auto"/>
        <w:jc w:val="center"/>
        <w:outlineLvl w:val="0"/>
        <w:rPr>
          <w:rFonts w:ascii="Times New Roman" w:eastAsia="Calibri" w:hAnsi="Times New Roman" w:cs="Times New Roman"/>
          <w:iCs/>
          <w:sz w:val="24"/>
          <w:szCs w:val="20"/>
          <w:lang w:val="it-IT" w:eastAsia="en-GB"/>
        </w:rPr>
      </w:pPr>
    </w:p>
    <w:p w:rsidR="00B72A24" w:rsidRPr="0038772C" w:rsidRDefault="00B72A24" w:rsidP="00B72A24">
      <w:pPr>
        <w:autoSpaceDE w:val="0"/>
        <w:autoSpaceDN w:val="0"/>
        <w:adjustRightInd w:val="0"/>
        <w:spacing w:before="240" w:after="0" w:line="240" w:lineRule="auto"/>
        <w:jc w:val="center"/>
        <w:outlineLvl w:val="0"/>
        <w:rPr>
          <w:rFonts w:ascii="Times New Roman" w:eastAsia="Calibri" w:hAnsi="Times New Roman" w:cs="Times New Roman"/>
          <w:iCs/>
          <w:sz w:val="24"/>
          <w:szCs w:val="20"/>
          <w:lang w:val="it-IT" w:eastAsia="en-GB"/>
        </w:rPr>
      </w:pPr>
      <w:r w:rsidRPr="0038772C">
        <w:rPr>
          <w:rFonts w:ascii="Times New Roman" w:eastAsia="Calibri" w:hAnsi="Times New Roman" w:cs="Times New Roman"/>
          <w:iCs/>
          <w:sz w:val="24"/>
          <w:szCs w:val="20"/>
          <w:lang w:val="it-IT" w:eastAsia="en-GB"/>
        </w:rPr>
        <w:t>ANEKSI I</w:t>
      </w:r>
    </w:p>
    <w:p w:rsidR="00B72A24" w:rsidRPr="0038772C" w:rsidRDefault="00B72A24" w:rsidP="00B72A24">
      <w:pPr>
        <w:autoSpaceDE w:val="0"/>
        <w:autoSpaceDN w:val="0"/>
        <w:adjustRightInd w:val="0"/>
        <w:spacing w:after="0" w:line="240" w:lineRule="auto"/>
        <w:jc w:val="center"/>
        <w:rPr>
          <w:rFonts w:ascii="Times New Roman" w:eastAsia="Calibri" w:hAnsi="Times New Roman" w:cs="Times New Roman"/>
          <w:bCs/>
          <w:sz w:val="24"/>
          <w:szCs w:val="20"/>
          <w:lang w:val="it-IT" w:eastAsia="en-GB"/>
        </w:rPr>
      </w:pPr>
      <w:r w:rsidRPr="0038772C">
        <w:rPr>
          <w:rFonts w:ascii="Times New Roman" w:eastAsia="Calibri" w:hAnsi="Times New Roman" w:cs="Times New Roman"/>
          <w:bCs/>
          <w:sz w:val="24"/>
          <w:szCs w:val="20"/>
          <w:lang w:val="it-IT" w:eastAsia="en-GB"/>
        </w:rPr>
        <w:t xml:space="preserve">KËRKESAT PËR PLANIN E MARRJES DHE TRAJTIMIT TË MBETJEVE NË PORT </w:t>
      </w:r>
    </w:p>
    <w:p w:rsidR="00B72A24" w:rsidRPr="0038772C" w:rsidRDefault="00B72A24" w:rsidP="00B72A24">
      <w:pPr>
        <w:autoSpaceDE w:val="0"/>
        <w:autoSpaceDN w:val="0"/>
        <w:adjustRightInd w:val="0"/>
        <w:spacing w:before="240" w:after="0" w:line="240" w:lineRule="auto"/>
        <w:jc w:val="both"/>
        <w:rPr>
          <w:rFonts w:ascii="Times New Roman" w:eastAsia="Calibri" w:hAnsi="Times New Roman" w:cs="Times New Roman"/>
          <w:sz w:val="24"/>
          <w:szCs w:val="20"/>
          <w:lang w:val="it-IT" w:eastAsia="en-GB"/>
        </w:rPr>
      </w:pPr>
      <w:r w:rsidRPr="0038772C">
        <w:rPr>
          <w:rFonts w:ascii="Times New Roman" w:eastAsia="Calibri" w:hAnsi="Times New Roman" w:cs="Times New Roman"/>
          <w:sz w:val="24"/>
          <w:szCs w:val="20"/>
          <w:lang w:val="it-IT" w:eastAsia="en-GB"/>
        </w:rPr>
        <w:lastRenderedPageBreak/>
        <w:t xml:space="preserve">Plani i marrjes dhe trajtimit të mbetjeve në port duhet të mbulojë të gjitha llojet e mbetjeve te krijuara dhe tepricat nga ngarkesat në det që vijnë nga anijet që vizitojnë portin normalisht. Ai duhet të hartohet në përputhje me madhësinë e portit dhe llojet e anijeve që japin shenjën e thirrjes në atë port. </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it-IT" w:eastAsia="en-GB"/>
        </w:rPr>
      </w:pPr>
      <w:r w:rsidRPr="0038772C">
        <w:rPr>
          <w:rFonts w:ascii="Times New Roman" w:eastAsia="Calibri" w:hAnsi="Times New Roman" w:cs="Times New Roman"/>
          <w:sz w:val="24"/>
          <w:szCs w:val="20"/>
          <w:lang w:val="it-IT" w:eastAsia="en-GB"/>
        </w:rPr>
        <w:t>Plani duhet të përfshijë elementët e mëposhtëm:</w:t>
      </w:r>
    </w:p>
    <w:p w:rsidR="00B72A24" w:rsidRPr="0038772C" w:rsidRDefault="00B72A24" w:rsidP="00B72A24">
      <w:pPr>
        <w:pStyle w:val="ListParagraph"/>
        <w:numPr>
          <w:ilvl w:val="2"/>
          <w:numId w:val="1"/>
        </w:numPr>
        <w:spacing w:before="240" w:after="0" w:line="240" w:lineRule="auto"/>
        <w:jc w:val="both"/>
        <w:rPr>
          <w:rFonts w:ascii="Times New Roman" w:eastAsia="Calibri" w:hAnsi="Times New Roman" w:cs="Times New Roman"/>
          <w:sz w:val="24"/>
          <w:szCs w:val="20"/>
          <w:lang w:val="it-IT" w:eastAsia="en-GB"/>
        </w:rPr>
      </w:pPr>
      <w:r w:rsidRPr="0038772C">
        <w:rPr>
          <w:rFonts w:ascii="Times New Roman" w:eastAsia="Calibri" w:hAnsi="Times New Roman" w:cs="Times New Roman"/>
          <w:sz w:val="24"/>
          <w:szCs w:val="20"/>
          <w:lang w:val="it-IT" w:eastAsia="en-GB"/>
        </w:rPr>
        <w:t>vlerësimin e nevojës për instalime marrëse portuale nisur nga nevojat e anijeve që vizitojnë portin normalisht;</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përshkrimin e llojit dhe kapacitetit të instalimeve marrëse portuale;</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përshkrimin e hollësishëm të proçedurave për marrjen dhe mbledhjen e mbetjeve të krijuara nga anijet dhe tepricat nga ngarkesat;</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përshkrimin e sistemit të pagesës;</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Detaje të tarifës së propozuar;</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Metodat e llogaritjes;</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proçedurat për raportimin mbi mangësitë e pretenduara të instalimeve marrëse portuale;</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proçedurat për konsultimet e vazhdueshme me përdoruesit e portit, kontraktuesit e mbetjeve, operatorët e terminalit dhe palët e tjera të interesuara, dhe</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 xml:space="preserve">llojet dhe sasitë e mbetjeve të krijuara nga anijet dhe tepricat nga ngarkesat të marra dhe të </w:t>
      </w:r>
    </w:p>
    <w:p w:rsidR="00B72A24" w:rsidRPr="0038772C" w:rsidRDefault="00B72A24" w:rsidP="00B72A24">
      <w:pPr>
        <w:spacing w:before="240" w:after="0" w:line="240" w:lineRule="auto"/>
        <w:ind w:left="450"/>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trajtuara.</w:t>
      </w:r>
    </w:p>
    <w:p w:rsidR="00B72A24" w:rsidRPr="0038772C" w:rsidRDefault="00B72A24" w:rsidP="00B72A24">
      <w:pPr>
        <w:numPr>
          <w:ilvl w:val="2"/>
          <w:numId w:val="1"/>
        </w:numPr>
        <w:spacing w:before="240" w:after="0" w:line="240" w:lineRule="auto"/>
        <w:ind w:left="450" w:hanging="450"/>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Përvec sa më lart plani duhet të përfshijë;</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Një përmbledhje të legjislacionit përkatës dhe të formaliteteve për dorëzimin e mbetjeve dhe tepricave;</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Identifikimin e personit ose personave përgjegjës për zbatimin e planit;</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Një përshkrim të pajisjeve dhe proçeseve para-trajtuese në port, nese ka ose jashte tij</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 xml:space="preserve">Një përshkrim të metodave që janë përdorur për raportimin e përdorimit aktual të të instalimeve marrëse portuale; </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Një përshkrim të metodave që janë përdorur për raportimin e të dhënave mbi sasinë e mbetjeve dhe tepricat e ngarkesave të dorëzuara nga anijet; dhe</w:t>
      </w:r>
    </w:p>
    <w:p w:rsidR="00B72A24" w:rsidRPr="0038772C" w:rsidRDefault="00B72A24" w:rsidP="00B72A24">
      <w:pPr>
        <w:pStyle w:val="ListParagraph"/>
        <w:numPr>
          <w:ilvl w:val="0"/>
          <w:numId w:val="6"/>
        </w:numPr>
        <w:autoSpaceDE w:val="0"/>
        <w:autoSpaceDN w:val="0"/>
        <w:adjustRightInd w:val="0"/>
        <w:spacing w:before="240" w:after="0" w:line="240" w:lineRule="auto"/>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Një përshkrim të mënyrës së largimit të mbetjeve të krijuara nga anijet dhe tepricat nga ngarkesat.</w:t>
      </w:r>
    </w:p>
    <w:p w:rsidR="00B72A24" w:rsidRPr="0038772C" w:rsidRDefault="00B72A24" w:rsidP="00B72A24">
      <w:pPr>
        <w:autoSpaceDE w:val="0"/>
        <w:autoSpaceDN w:val="0"/>
        <w:adjustRightInd w:val="0"/>
        <w:spacing w:before="240" w:after="0" w:line="240" w:lineRule="auto"/>
        <w:jc w:val="both"/>
        <w:rPr>
          <w:rFonts w:ascii="Times New Roman" w:eastAsia="Calibri" w:hAnsi="Times New Roman" w:cs="Times New Roman"/>
          <w:bCs/>
          <w:sz w:val="24"/>
          <w:szCs w:val="20"/>
          <w:lang w:val="fr-FR" w:eastAsia="en-GB"/>
        </w:rPr>
      </w:pPr>
      <w:r w:rsidRPr="0038772C">
        <w:rPr>
          <w:rFonts w:ascii="Times New Roman" w:eastAsia="Calibri" w:hAnsi="Times New Roman" w:cs="Times New Roman"/>
          <w:sz w:val="24"/>
          <w:szCs w:val="20"/>
          <w:lang w:val="fr-FR" w:eastAsia="en-GB"/>
        </w:rPr>
        <w:t>Proçedurat për marrjen, mbledhjen, magazinimin, trajtimin dhe largimin e mbetjeve dhe tepricave nga ngarkesat e anijeve duhet të jenë në përputhje me sistemet e menaxhimit të  mjedisit sipas standarteve me te fundit europjane dhe te miratuara gjithashtu nga ministria e mjedisit</w:t>
      </w:r>
    </w:p>
    <w:p w:rsidR="00B72A24" w:rsidRPr="0038772C" w:rsidRDefault="00B72A24" w:rsidP="00B72A24">
      <w:pPr>
        <w:autoSpaceDE w:val="0"/>
        <w:autoSpaceDN w:val="0"/>
        <w:adjustRightInd w:val="0"/>
        <w:spacing w:before="240" w:after="0" w:line="240" w:lineRule="auto"/>
        <w:jc w:val="both"/>
        <w:outlineLvl w:val="0"/>
        <w:rPr>
          <w:rFonts w:ascii="Times New Roman" w:eastAsia="Calibri" w:hAnsi="Times New Roman" w:cs="Times New Roman"/>
          <w:bCs/>
          <w:sz w:val="24"/>
          <w:szCs w:val="20"/>
          <w:lang w:val="fr-FR" w:eastAsia="en-GB"/>
        </w:rPr>
      </w:pPr>
      <w:r w:rsidRPr="0038772C">
        <w:rPr>
          <w:rFonts w:ascii="Times New Roman" w:eastAsia="Calibri" w:hAnsi="Times New Roman" w:cs="Times New Roman"/>
          <w:bCs/>
          <w:sz w:val="24"/>
          <w:szCs w:val="20"/>
          <w:lang w:val="fr-FR" w:eastAsia="en-GB"/>
        </w:rPr>
        <w:t>Informacioni që i vihet në dispozicion të gjithë përdoruesve të portit:</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Një referencë e shkurtër mbi rëndësinë e dorëzimit të mbetjeve të krijuara nga anija dhe</w:t>
      </w:r>
    </w:p>
    <w:p w:rsidR="00B72A24" w:rsidRPr="0038772C" w:rsidRDefault="00B72A24" w:rsidP="00B72A24">
      <w:pPr>
        <w:autoSpaceDE w:val="0"/>
        <w:autoSpaceDN w:val="0"/>
        <w:adjustRightInd w:val="0"/>
        <w:spacing w:after="0" w:line="240" w:lineRule="auto"/>
        <w:ind w:left="720"/>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tepricat nga ngarkesat në përputhje me kërkesat e këtij vendimi;</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t>Vendodhja e instalimeve marrëse portuale të aplikueshme në çdo vend ankorimi me</w:t>
      </w:r>
    </w:p>
    <w:p w:rsidR="00B72A24" w:rsidRPr="0038772C" w:rsidRDefault="00B72A24" w:rsidP="00B72A24">
      <w:pPr>
        <w:spacing w:before="240" w:after="0" w:line="240" w:lineRule="auto"/>
        <w:ind w:left="720"/>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diagramë/hartë;</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Lista e mbetjeve të krijuara nga anijet dhe tepricat nga ngarkesat që trajton normalisht;</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Lista e pikave të kontaktit, operatorët e licensuar dhe shërbimet e ofruara;</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Proçedura e dorëzimit;</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 xml:space="preserve">Sistemi i pagesës; dhe </w:t>
      </w:r>
    </w:p>
    <w:p w:rsidR="00B72A24" w:rsidRPr="0038772C" w:rsidRDefault="00B72A24" w:rsidP="00B72A24">
      <w:pPr>
        <w:numPr>
          <w:ilvl w:val="0"/>
          <w:numId w:val="4"/>
        </w:numPr>
        <w:spacing w:before="240" w:after="0" w:line="240" w:lineRule="auto"/>
        <w:contextualSpacing/>
        <w:jc w:val="both"/>
        <w:rPr>
          <w:rFonts w:ascii="Times New Roman" w:eastAsia="Calibri" w:hAnsi="Times New Roman" w:cs="Times New Roman"/>
          <w:sz w:val="24"/>
          <w:szCs w:val="20"/>
          <w:lang w:val="fr-FR" w:eastAsia="en-GB"/>
        </w:rPr>
      </w:pPr>
      <w:r w:rsidRPr="0038772C">
        <w:rPr>
          <w:rFonts w:ascii="Times New Roman" w:eastAsia="Calibri" w:hAnsi="Times New Roman" w:cs="Times New Roman"/>
          <w:sz w:val="24"/>
          <w:szCs w:val="20"/>
          <w:lang w:val="fr-FR" w:eastAsia="en-GB"/>
        </w:rPr>
        <w:lastRenderedPageBreak/>
        <w:t>Proçedurat për raportimin e mangësive të pretenduara për instalimet marrëse portuale.</w:t>
      </w:r>
    </w:p>
    <w:p w:rsidR="00B72A24" w:rsidRPr="0038772C" w:rsidRDefault="00B72A24" w:rsidP="00B72A24">
      <w:pPr>
        <w:spacing w:before="240" w:after="0" w:line="240" w:lineRule="auto"/>
        <w:jc w:val="both"/>
        <w:rPr>
          <w:rFonts w:ascii="Times New Roman" w:eastAsia="Calibri" w:hAnsi="Times New Roman" w:cs="Times New Roman"/>
          <w:sz w:val="24"/>
          <w:szCs w:val="20"/>
          <w:lang w:val="fr-FR" w:eastAsia="en-GB"/>
        </w:rPr>
      </w:pPr>
    </w:p>
    <w:p w:rsidR="00B72A24" w:rsidRPr="0038772C" w:rsidRDefault="00B72A24" w:rsidP="00B72A24">
      <w:pPr>
        <w:spacing w:after="0" w:line="240" w:lineRule="auto"/>
        <w:jc w:val="center"/>
        <w:rPr>
          <w:rFonts w:ascii="Times New Roman" w:eastAsia="Calibri" w:hAnsi="Times New Roman" w:cs="Times New Roman"/>
          <w:iCs/>
          <w:sz w:val="24"/>
          <w:szCs w:val="20"/>
          <w:lang w:val="fr-FR" w:eastAsia="en-GB"/>
        </w:rPr>
      </w:pPr>
      <w:r w:rsidRPr="0038772C">
        <w:rPr>
          <w:rFonts w:ascii="Times New Roman" w:eastAsia="Calibri" w:hAnsi="Times New Roman" w:cs="Times New Roman"/>
          <w:iCs/>
          <w:sz w:val="24"/>
          <w:szCs w:val="20"/>
          <w:lang w:val="fr-FR" w:eastAsia="en-GB"/>
        </w:rPr>
        <w:t>ANEKSI II</w:t>
      </w:r>
    </w:p>
    <w:p w:rsidR="00B72A24" w:rsidRPr="0038772C" w:rsidRDefault="00B72A24" w:rsidP="00B72A24">
      <w:pPr>
        <w:autoSpaceDE w:val="0"/>
        <w:autoSpaceDN w:val="0"/>
        <w:adjustRightInd w:val="0"/>
        <w:spacing w:before="240" w:after="0" w:line="240" w:lineRule="auto"/>
        <w:jc w:val="center"/>
        <w:rPr>
          <w:rFonts w:ascii="Times New Roman" w:eastAsia="Calibri" w:hAnsi="Times New Roman" w:cs="Times New Roman"/>
          <w:bCs/>
          <w:sz w:val="24"/>
          <w:szCs w:val="20"/>
          <w:lang w:val="fr-FR" w:eastAsia="en-GB"/>
        </w:rPr>
      </w:pPr>
      <w:r w:rsidRPr="0038772C">
        <w:rPr>
          <w:rFonts w:ascii="Times New Roman" w:eastAsia="Calibri" w:hAnsi="Times New Roman" w:cs="Times New Roman"/>
          <w:bCs/>
          <w:sz w:val="24"/>
          <w:szCs w:val="20"/>
          <w:lang w:val="fr-FR" w:eastAsia="en-GB"/>
        </w:rPr>
        <w:t>INFORMACIONI QË ANIJA DUHET TË NJOFTOJË PËRPARA HYRJES NË PORTET SHQIPTARE</w:t>
      </w:r>
    </w:p>
    <w:p w:rsidR="00B72A24" w:rsidRPr="0038772C" w:rsidRDefault="00B72A24" w:rsidP="00B72A24">
      <w:pPr>
        <w:autoSpaceDE w:val="0"/>
        <w:autoSpaceDN w:val="0"/>
        <w:adjustRightInd w:val="0"/>
        <w:spacing w:before="240" w:after="0" w:line="240" w:lineRule="auto"/>
        <w:jc w:val="center"/>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(Porti i Destinacionit referuar në Seksionin VI)</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1. Emri, shenja e thirrjes dhe, sipas rastit, numri IMO i identifikimit të anijes:</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2. Flamuri i Shtetit:</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3. Koha e vlerësuar e mbërritjes (ETA):</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4. Koha e vlerësuar e nisjes (ETD):</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5. Porti i mëparshëm i thirrjes:</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6. Porti tjetër i thirrjes:</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7. Porti i fundit dhe data kur janë dorëzuar mbetjet e krijuara nga anija:</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8. Në instalimin marrës portual do të dorëzoni (shëno kutinë e duhur):</w:t>
      </w:r>
    </w:p>
    <w:p w:rsidR="00B72A24" w:rsidRPr="0038772C" w:rsidRDefault="00B72A24" w:rsidP="00B72A24">
      <w:pPr>
        <w:autoSpaceDE w:val="0"/>
        <w:autoSpaceDN w:val="0"/>
        <w:adjustRightInd w:val="0"/>
        <w:spacing w:after="0" w:line="240" w:lineRule="auto"/>
        <w:ind w:firstLine="720"/>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Të gjitha disa  asnjë nga mbetjet tuaja?</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9. Llojin dhe sasinë e mbetjeve dhe tepricave që do të dorëzohen dhe/ose mbahen në bord, dhe përqindjen që ato zënë në raport me kapacitetin maksimal të magazinimit:</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i/>
          <w:sz w:val="24"/>
          <w:szCs w:val="20"/>
          <w:lang w:val="en-GB" w:eastAsia="en-GB"/>
        </w:rPr>
      </w:pPr>
      <w:r w:rsidRPr="0038772C">
        <w:rPr>
          <w:rFonts w:ascii="Times New Roman" w:eastAsia="Calibri" w:hAnsi="Times New Roman" w:cs="Times New Roman"/>
          <w:i/>
          <w:sz w:val="24"/>
          <w:szCs w:val="20"/>
          <w:lang w:val="en-GB" w:eastAsia="en-GB"/>
        </w:rPr>
        <w:t>Në qoftë se dorëzoni të gjitha mbetjet plotësoni kolonën e dytë.</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i/>
          <w:sz w:val="24"/>
          <w:szCs w:val="20"/>
          <w:lang w:val="en-GB" w:eastAsia="en-GB"/>
        </w:rPr>
      </w:pPr>
      <w:r w:rsidRPr="0038772C">
        <w:rPr>
          <w:rFonts w:ascii="Times New Roman" w:eastAsia="Calibri" w:hAnsi="Times New Roman" w:cs="Times New Roman"/>
          <w:i/>
          <w:sz w:val="24"/>
          <w:szCs w:val="20"/>
          <w:lang w:val="en-GB" w:eastAsia="en-GB"/>
        </w:rPr>
        <w:t>Në qoftë se dorëzoni disa ose nuk dorëzoni mbetje, plotësoni të gjitha kolonat.</w:t>
      </w:r>
    </w:p>
    <w:p w:rsidR="00B72A24" w:rsidRPr="0038772C" w:rsidRDefault="00B72A24" w:rsidP="00B72A24">
      <w:pPr>
        <w:autoSpaceDE w:val="0"/>
        <w:autoSpaceDN w:val="0"/>
        <w:adjustRightInd w:val="0"/>
        <w:spacing w:before="240" w:after="0" w:line="240" w:lineRule="auto"/>
        <w:jc w:val="both"/>
        <w:rPr>
          <w:rFonts w:ascii="Times New Roman" w:eastAsia="Calibri" w:hAnsi="Times New Roman" w:cs="Times New Roman"/>
          <w:sz w:val="24"/>
          <w:szCs w:val="20"/>
          <w:lang w:val="en-GB"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1488"/>
        <w:gridCol w:w="1532"/>
        <w:gridCol w:w="1464"/>
        <w:gridCol w:w="1490"/>
        <w:gridCol w:w="1504"/>
      </w:tblGrid>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Lloji</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Mbetjet që do të dorëzohen (në m</w:t>
            </w:r>
            <w:r w:rsidRPr="0038772C">
              <w:rPr>
                <w:rFonts w:ascii="Times New Roman" w:eastAsia="Calibri" w:hAnsi="Times New Roman" w:cs="Times New Roman"/>
                <w:sz w:val="16"/>
                <w:szCs w:val="16"/>
                <w:vertAlign w:val="superscript"/>
                <w:lang w:val="en-GB" w:eastAsia="en-GB"/>
              </w:rPr>
              <w:t>3</w:t>
            </w:r>
            <w:r w:rsidRPr="0038772C">
              <w:rPr>
                <w:rFonts w:ascii="Times New Roman" w:eastAsia="Calibri" w:hAnsi="Times New Roman" w:cs="Times New Roman"/>
                <w:sz w:val="16"/>
                <w:szCs w:val="16"/>
                <w:lang w:val="en-GB" w:eastAsia="en-GB"/>
              </w:rPr>
              <w:t>)</w:t>
            </w: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Kapaciteti maksimal i magazinimit (në m</w:t>
            </w:r>
            <w:r w:rsidRPr="0038772C">
              <w:rPr>
                <w:rFonts w:ascii="Times New Roman" w:eastAsia="Calibri" w:hAnsi="Times New Roman" w:cs="Times New Roman"/>
                <w:sz w:val="16"/>
                <w:szCs w:val="16"/>
                <w:vertAlign w:val="superscript"/>
                <w:lang w:val="en-GB" w:eastAsia="en-GB"/>
              </w:rPr>
              <w:t>3</w:t>
            </w:r>
            <w:r w:rsidRPr="0038772C">
              <w:rPr>
                <w:rFonts w:ascii="Times New Roman" w:eastAsia="Calibri" w:hAnsi="Times New Roman" w:cs="Times New Roman"/>
                <w:sz w:val="16"/>
                <w:szCs w:val="16"/>
                <w:lang w:val="en-GB" w:eastAsia="en-GB"/>
              </w:rPr>
              <w:t>)</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Sasinë e mbetjeve që do të mbahen në bord (në m</w:t>
            </w:r>
            <w:r w:rsidRPr="0038772C">
              <w:rPr>
                <w:rFonts w:ascii="Times New Roman" w:eastAsia="Calibri" w:hAnsi="Times New Roman" w:cs="Times New Roman"/>
                <w:sz w:val="16"/>
                <w:szCs w:val="16"/>
                <w:vertAlign w:val="superscript"/>
                <w:lang w:val="en-GB" w:eastAsia="en-GB"/>
              </w:rPr>
              <w:t xml:space="preserve">3 )   </w:t>
            </w: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Porti ku do të dorëzohen mbetjet e mbajtura </w:t>
            </w: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Sasia e  vlerësuar e mbetjeve që do të gjenerohet nga moment i njoftimit deri në mbrritjen në portin tjetër të thirrjes (në m</w:t>
            </w:r>
            <w:r w:rsidRPr="0038772C">
              <w:rPr>
                <w:rFonts w:ascii="Times New Roman" w:eastAsia="Calibri" w:hAnsi="Times New Roman" w:cs="Times New Roman"/>
                <w:sz w:val="16"/>
                <w:szCs w:val="16"/>
                <w:vertAlign w:val="superscript"/>
                <w:lang w:val="en-GB" w:eastAsia="en-GB"/>
              </w:rPr>
              <w:t>3</w:t>
            </w:r>
            <w:r w:rsidRPr="0038772C">
              <w:rPr>
                <w:rFonts w:ascii="Times New Roman" w:eastAsia="Calibri" w:hAnsi="Times New Roman" w:cs="Times New Roman"/>
                <w:sz w:val="16"/>
                <w:szCs w:val="16"/>
                <w:lang w:val="en-GB" w:eastAsia="en-GB"/>
              </w:rPr>
              <w:t>)</w:t>
            </w:r>
          </w:p>
        </w:tc>
      </w:tr>
      <w:tr w:rsidR="0038772C" w:rsidRPr="0038772C" w:rsidTr="000D478E">
        <w:tc>
          <w:tcPr>
            <w:tcW w:w="9576" w:type="dxa"/>
            <w:gridSpan w:val="6"/>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Vajra të përdorur</w:t>
            </w: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Llumra </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Ujë i sentinave</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Të tjera (specifikoni)</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9576" w:type="dxa"/>
            <w:gridSpan w:val="6"/>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Mbetje të ngurta</w:t>
            </w: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Mbetje nga ushqimet</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Mbetje plastike</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Mbetje të tjera</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Ujëra të ndotura (1)</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Mbetje që shoqërojnë ngarkesat (2) (specifikoni)</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r w:rsidR="0038772C" w:rsidRPr="0038772C" w:rsidTr="000D478E">
        <w:tc>
          <w:tcPr>
            <w:tcW w:w="209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Tepricat nga ngarkesat (2)</w:t>
            </w:r>
          </w:p>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(përcaktoni)</w:t>
            </w:r>
          </w:p>
        </w:tc>
        <w:tc>
          <w:tcPr>
            <w:tcW w:w="1488"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32"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6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490"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c>
          <w:tcPr>
            <w:tcW w:w="1504"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sz w:val="16"/>
                <w:szCs w:val="16"/>
                <w:lang w:val="en-GB" w:eastAsia="en-GB"/>
              </w:rPr>
            </w:pPr>
          </w:p>
        </w:tc>
      </w:tr>
    </w:tbl>
    <w:p w:rsidR="00B72A24" w:rsidRPr="0038772C" w:rsidRDefault="00B72A24" w:rsidP="00B72A24">
      <w:pPr>
        <w:autoSpaceDE w:val="0"/>
        <w:autoSpaceDN w:val="0"/>
        <w:adjustRightInd w:val="0"/>
        <w:spacing w:before="240"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 xml:space="preserve"> (1) Ujërat e ndotura mund të shkarkohen në det në përputhje me Rregulloren 11 të Aneksit IV të Marpol 73/78. Në rast të një shkarkimi të autorizuar në det kutitë përkatëse nuk plotësohen.</w:t>
      </w:r>
    </w:p>
    <w:p w:rsidR="00B72A24" w:rsidRPr="0038772C" w:rsidRDefault="00B72A24" w:rsidP="00B72A24">
      <w:pPr>
        <w:autoSpaceDE w:val="0"/>
        <w:autoSpaceDN w:val="0"/>
        <w:adjustRightInd w:val="0"/>
        <w:spacing w:before="240" w:after="0" w:line="240" w:lineRule="auto"/>
        <w:jc w:val="both"/>
        <w:rPr>
          <w:rFonts w:ascii="Times New Roman" w:eastAsia="Calibri" w:hAnsi="Times New Roman" w:cs="Times New Roman"/>
          <w:i/>
          <w:iCs/>
          <w:sz w:val="24"/>
          <w:szCs w:val="20"/>
          <w:lang w:val="en-GB" w:eastAsia="en-GB"/>
        </w:rPr>
      </w:pPr>
      <w:r w:rsidRPr="0038772C">
        <w:rPr>
          <w:rFonts w:ascii="Times New Roman" w:eastAsia="Calibri" w:hAnsi="Times New Roman" w:cs="Times New Roman"/>
          <w:sz w:val="24"/>
          <w:szCs w:val="20"/>
          <w:lang w:val="en-GB" w:eastAsia="en-GB"/>
        </w:rPr>
        <w:t xml:space="preserve"> (2) Mund të jenë vlerësime.</w:t>
      </w:r>
    </w:p>
    <w:p w:rsidR="00B72A24" w:rsidRPr="0038772C" w:rsidRDefault="00B72A24" w:rsidP="00B72A24">
      <w:pPr>
        <w:spacing w:after="0" w:line="240" w:lineRule="auto"/>
        <w:jc w:val="both"/>
        <w:rPr>
          <w:rFonts w:ascii="Times New Roman" w:eastAsia="Times New Roman" w:hAnsi="Times New Roman" w:cs="Times New Roman"/>
          <w:noProof/>
          <w:sz w:val="24"/>
          <w:szCs w:val="24"/>
          <w:lang w:val="en-GB"/>
        </w:rPr>
      </w:pPr>
    </w:p>
    <w:p w:rsidR="00B72A24" w:rsidRPr="0038772C" w:rsidRDefault="00B72A24" w:rsidP="00B72A24">
      <w:pPr>
        <w:spacing w:after="0" w:line="240" w:lineRule="auto"/>
        <w:jc w:val="center"/>
        <w:rPr>
          <w:rFonts w:ascii="Times New Roman" w:eastAsia="Times New Roman" w:hAnsi="Times New Roman" w:cs="Times New Roman"/>
          <w:noProof/>
          <w:sz w:val="24"/>
          <w:szCs w:val="24"/>
          <w:lang w:val="en-GB"/>
        </w:rPr>
      </w:pPr>
    </w:p>
    <w:p w:rsidR="00B72A24" w:rsidRPr="0038772C" w:rsidRDefault="00B72A24" w:rsidP="00B72A24">
      <w:pPr>
        <w:spacing w:after="0" w:line="240" w:lineRule="auto"/>
        <w:jc w:val="center"/>
        <w:rPr>
          <w:rFonts w:ascii="Times New Roman" w:eastAsia="Times New Roman" w:hAnsi="Times New Roman" w:cs="Times New Roman"/>
          <w:noProof/>
          <w:sz w:val="24"/>
          <w:szCs w:val="24"/>
          <w:lang w:val="en-GB"/>
        </w:rPr>
      </w:pPr>
      <w:r w:rsidRPr="0038772C">
        <w:rPr>
          <w:rFonts w:ascii="Times New Roman" w:eastAsia="Calibri" w:hAnsi="Times New Roman" w:cs="Times New Roman"/>
          <w:sz w:val="32"/>
          <w:szCs w:val="20"/>
          <w:vertAlign w:val="superscript"/>
          <w:lang w:val="en-GB" w:eastAsia="en-GB"/>
        </w:rPr>
        <w:t>KY ANEKS MUND TE SHERBEJE NE FAZEN E MIRATIMIT TE TARIFAVE NGA MINISTRIA E TRANSPORTEVE DHE E FINANCAVE</w:t>
      </w:r>
    </w:p>
    <w:p w:rsidR="00B72A24" w:rsidRPr="0038772C" w:rsidRDefault="00B72A24" w:rsidP="00B72A24">
      <w:pPr>
        <w:spacing w:after="0" w:line="240" w:lineRule="auto"/>
        <w:jc w:val="center"/>
        <w:rPr>
          <w:rFonts w:ascii="Times New Roman" w:eastAsia="Times New Roman" w:hAnsi="Times New Roman" w:cs="Times New Roman"/>
          <w:noProof/>
          <w:sz w:val="24"/>
          <w:szCs w:val="24"/>
          <w:lang w:val="en-GB"/>
        </w:rPr>
      </w:pPr>
    </w:p>
    <w:p w:rsidR="00B72A24" w:rsidRPr="0038772C" w:rsidRDefault="00B72A24" w:rsidP="00B72A24">
      <w:pPr>
        <w:spacing w:after="0" w:line="240" w:lineRule="auto"/>
        <w:jc w:val="center"/>
        <w:outlineLvl w:val="0"/>
        <w:rPr>
          <w:rFonts w:ascii="Times New Roman" w:eastAsia="Times New Roman" w:hAnsi="Times New Roman" w:cs="Times New Roman"/>
          <w:noProof/>
          <w:sz w:val="24"/>
          <w:szCs w:val="24"/>
          <w:lang w:val="en-GB"/>
        </w:rPr>
      </w:pPr>
      <w:r w:rsidRPr="0038772C">
        <w:rPr>
          <w:rFonts w:ascii="Times New Roman" w:eastAsia="Times New Roman" w:hAnsi="Times New Roman" w:cs="Times New Roman"/>
          <w:noProof/>
          <w:sz w:val="24"/>
          <w:szCs w:val="24"/>
          <w:lang w:val="en-GB"/>
        </w:rPr>
        <w:t xml:space="preserve">ANEKSI III </w:t>
      </w:r>
    </w:p>
    <w:p w:rsidR="00B72A24" w:rsidRPr="0038772C" w:rsidRDefault="00B72A24" w:rsidP="00B72A24">
      <w:pPr>
        <w:spacing w:after="0" w:line="240" w:lineRule="auto"/>
        <w:jc w:val="center"/>
        <w:rPr>
          <w:rFonts w:ascii="Times New Roman" w:eastAsia="Times New Roman" w:hAnsi="Times New Roman" w:cs="Times New Roman"/>
          <w:noProof/>
          <w:sz w:val="24"/>
          <w:szCs w:val="24"/>
          <w:lang w:val="en-GB"/>
        </w:rPr>
      </w:pPr>
      <w:r w:rsidRPr="0038772C">
        <w:rPr>
          <w:rFonts w:ascii="Times New Roman" w:eastAsia="Times New Roman" w:hAnsi="Times New Roman" w:cs="Times New Roman"/>
          <w:noProof/>
          <w:sz w:val="24"/>
          <w:szCs w:val="24"/>
          <w:lang w:val="en-GB"/>
        </w:rPr>
        <w:lastRenderedPageBreak/>
        <w:t xml:space="preserve">Kriteret minimale për përcaktimin e tarifës për mbetjet </w:t>
      </w:r>
    </w:p>
    <w:p w:rsidR="00B72A24" w:rsidRPr="0038772C" w:rsidRDefault="00B72A24" w:rsidP="00B72A24">
      <w:pPr>
        <w:spacing w:after="0" w:line="240" w:lineRule="auto"/>
        <w:jc w:val="center"/>
        <w:rPr>
          <w:rFonts w:ascii="Times New Roman" w:eastAsia="Times New Roman" w:hAnsi="Times New Roman" w:cs="Times New Roman"/>
          <w:noProof/>
          <w:sz w:val="24"/>
          <w:szCs w:val="24"/>
          <w:lang w:val="en-GB"/>
        </w:rPr>
      </w:pPr>
      <w:r w:rsidRPr="0038772C">
        <w:rPr>
          <w:rFonts w:ascii="Times New Roman" w:eastAsia="Times New Roman" w:hAnsi="Times New Roman" w:cs="Times New Roman"/>
          <w:noProof/>
          <w:sz w:val="24"/>
          <w:szCs w:val="24"/>
          <w:lang w:val="en-GB"/>
        </w:rPr>
        <w:t>(Tarifa e mbetjeve referuar në Seksionin VIII)</w:t>
      </w:r>
    </w:p>
    <w:p w:rsidR="00B72A24" w:rsidRPr="0038772C" w:rsidRDefault="00B72A24" w:rsidP="00B72A24">
      <w:pPr>
        <w:spacing w:after="0" w:line="240" w:lineRule="auto"/>
        <w:jc w:val="both"/>
        <w:rPr>
          <w:rFonts w:ascii="Times New Roman" w:eastAsia="Times New Roman" w:hAnsi="Times New Roman" w:cs="Times New Roman"/>
          <w:noProof/>
          <w:sz w:val="24"/>
          <w:szCs w:val="24"/>
          <w:lang w:val="en-GB"/>
        </w:rPr>
      </w:pPr>
    </w:p>
    <w:p w:rsidR="00B72A24" w:rsidRPr="0038772C" w:rsidRDefault="00B72A24" w:rsidP="00B72A24">
      <w:pPr>
        <w:spacing w:after="0" w:line="240" w:lineRule="auto"/>
        <w:jc w:val="both"/>
        <w:rPr>
          <w:rFonts w:ascii="Times New Roman" w:eastAsia="Times New Roman" w:hAnsi="Times New Roman" w:cs="Times New Roman"/>
          <w:noProof/>
          <w:sz w:val="24"/>
          <w:szCs w:val="24"/>
          <w:lang w:val="en-GB"/>
        </w:rPr>
      </w:pPr>
      <w:r w:rsidRPr="0038772C">
        <w:rPr>
          <w:rFonts w:ascii="Times New Roman" w:eastAsia="Times New Roman" w:hAnsi="Times New Roman" w:cs="Times New Roman"/>
          <w:noProof/>
          <w:sz w:val="24"/>
          <w:szCs w:val="24"/>
          <w:lang w:val="en-GB"/>
        </w:rPr>
        <w:t xml:space="preserve">Tarifat për shërbimet dhe përdorimin e instalimeve marrëse të portuale që referohet në Seksioni VIII, paragrafi 19, do të hartohen në bazë të kritereve minimale të përcaktuara në këtë Aneks sipas pikave A dhe B. </w:t>
      </w:r>
    </w:p>
    <w:p w:rsidR="00B72A24" w:rsidRPr="0038772C" w:rsidRDefault="00B72A24" w:rsidP="00B72A24">
      <w:pPr>
        <w:spacing w:after="0" w:line="240" w:lineRule="auto"/>
        <w:jc w:val="both"/>
        <w:rPr>
          <w:rFonts w:ascii="Times New Roman" w:eastAsia="Times New Roman" w:hAnsi="Times New Roman" w:cs="Times New Roman"/>
          <w:noProof/>
          <w:sz w:val="24"/>
          <w:szCs w:val="24"/>
          <w:lang w:val="en-GB"/>
        </w:rPr>
      </w:pPr>
    </w:p>
    <w:p w:rsidR="00B72A24" w:rsidRPr="0038772C" w:rsidRDefault="00B72A24" w:rsidP="00B72A24">
      <w:pPr>
        <w:numPr>
          <w:ilvl w:val="0"/>
          <w:numId w:val="2"/>
        </w:numPr>
        <w:spacing w:before="240" w:after="0" w:line="240" w:lineRule="auto"/>
        <w:jc w:val="both"/>
        <w:rPr>
          <w:rFonts w:ascii="Times New Roman" w:eastAsia="Times New Roman" w:hAnsi="Times New Roman" w:cs="Times New Roman"/>
          <w:noProof/>
          <w:sz w:val="24"/>
          <w:szCs w:val="24"/>
          <w:lang w:val="en-GB"/>
        </w:rPr>
      </w:pPr>
      <w:r w:rsidRPr="0038772C">
        <w:rPr>
          <w:rFonts w:ascii="Times New Roman" w:eastAsia="Times New Roman" w:hAnsi="Times New Roman" w:cs="Times New Roman"/>
          <w:noProof/>
          <w:sz w:val="24"/>
          <w:szCs w:val="24"/>
          <w:lang w:val="en-GB"/>
        </w:rPr>
        <w:t xml:space="preserve">Tarifa e mbetjeve llogaritet duke shumëzuar tarifën për njësi (që përcaktohet nga Porti/Autoriteti Portual) me faktorin e përcaktuar në pikën B,më poshtë. </w:t>
      </w:r>
    </w:p>
    <w:p w:rsidR="00B72A24" w:rsidRPr="0038772C" w:rsidRDefault="00B72A24" w:rsidP="00B72A24">
      <w:pPr>
        <w:numPr>
          <w:ilvl w:val="0"/>
          <w:numId w:val="2"/>
        </w:numPr>
        <w:spacing w:before="240" w:after="0" w:line="240" w:lineRule="auto"/>
        <w:jc w:val="both"/>
        <w:rPr>
          <w:rFonts w:ascii="Times New Roman" w:eastAsia="Times New Roman" w:hAnsi="Times New Roman" w:cs="Times New Roman"/>
          <w:noProof/>
          <w:sz w:val="24"/>
          <w:szCs w:val="24"/>
          <w:lang w:val="en-GB"/>
        </w:rPr>
      </w:pPr>
      <w:r w:rsidRPr="0038772C">
        <w:rPr>
          <w:rFonts w:ascii="Times New Roman" w:eastAsia="Times New Roman" w:hAnsi="Times New Roman" w:cs="Times New Roman"/>
          <w:noProof/>
          <w:sz w:val="24"/>
          <w:szCs w:val="24"/>
          <w:lang w:val="en-GB"/>
        </w:rPr>
        <w:t>Tarifa e mbetjeve mund të ndryshohet në lidhje me, ndër të tjera, kategorinë, llojin dhe madhësinë e anijes, në përputhje me faktorët e përcaktuar në tabelën e mëposhtme:</w:t>
      </w:r>
    </w:p>
    <w:p w:rsidR="00B72A24" w:rsidRPr="0038772C" w:rsidRDefault="00B72A24" w:rsidP="00B72A24">
      <w:pPr>
        <w:spacing w:after="0" w:line="240" w:lineRule="auto"/>
        <w:jc w:val="both"/>
        <w:rPr>
          <w:rFonts w:ascii="Times New Roman" w:eastAsia="Times New Roman" w:hAnsi="Times New Roman" w:cs="Times New Roman"/>
          <w:noProof/>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708"/>
        <w:gridCol w:w="818"/>
        <w:gridCol w:w="1047"/>
        <w:gridCol w:w="1186"/>
        <w:gridCol w:w="1186"/>
        <w:gridCol w:w="1193"/>
        <w:gridCol w:w="1186"/>
        <w:gridCol w:w="836"/>
      </w:tblGrid>
      <w:tr w:rsidR="0038772C" w:rsidRPr="0038772C" w:rsidTr="000D478E">
        <w:trPr>
          <w:trHeight w:val="416"/>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9757" w:type="dxa"/>
            <w:gridSpan w:val="8"/>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Mardhënia midis tipit të anijes, tonazhit dhe mbetjeve të pritshme</w:t>
            </w:r>
          </w:p>
        </w:tc>
      </w:tr>
      <w:tr w:rsidR="0038772C" w:rsidRPr="0038772C" w:rsidTr="000D478E">
        <w:trPr>
          <w:trHeight w:val="422"/>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Lloji/GT</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&lt;5000</w:t>
            </w:r>
          </w:p>
        </w:tc>
        <w:tc>
          <w:tcPr>
            <w:tcW w:w="1134"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5000 - 9999</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10000 - 14.999</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15.000 – 19.999</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20.000-24.999</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25.000 – 29.999</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&gt;30.000</w:t>
            </w:r>
          </w:p>
        </w:tc>
      </w:tr>
      <w:tr w:rsidR="0038772C" w:rsidRPr="0038772C" w:rsidTr="000D478E">
        <w:trPr>
          <w:trHeight w:val="413"/>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Transportues për ngarkesat rifuxhio </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r>
      <w:tr w:rsidR="0038772C" w:rsidRPr="0038772C" w:rsidTr="000D478E">
        <w:trPr>
          <w:trHeight w:val="188"/>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Anije kontejnerësh  </w:t>
            </w:r>
            <w:r w:rsidRPr="0038772C">
              <w:rPr>
                <w:rFonts w:ascii="Times New Roman" w:eastAsia="Calibri" w:hAnsi="Times New Roman" w:cs="Times New Roman"/>
                <w:sz w:val="16"/>
                <w:szCs w:val="16"/>
                <w:lang w:val="en-GB" w:eastAsia="en-GB"/>
              </w:rPr>
              <w:tab/>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6</w:t>
            </w:r>
          </w:p>
        </w:tc>
      </w:tr>
      <w:tr w:rsidR="0038772C" w:rsidRPr="0038772C" w:rsidTr="000D478E">
        <w:trPr>
          <w:trHeight w:val="269"/>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5.</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Anije për mallra të përgjithshme  </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r>
      <w:tr w:rsidR="0038772C" w:rsidRPr="0038772C" w:rsidTr="000D478E">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6.</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Anije frutash  </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r>
      <w:tr w:rsidR="0038772C" w:rsidRPr="0038772C" w:rsidTr="000D478E">
        <w:trPr>
          <w:trHeight w:val="233"/>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7.</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Cisternë gazi </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r>
      <w:tr w:rsidR="0038772C" w:rsidRPr="0038772C" w:rsidTr="000D478E">
        <w:trPr>
          <w:trHeight w:val="341"/>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8.</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Transportues për karburant rifuxhio </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5</w:t>
            </w:r>
          </w:p>
        </w:tc>
      </w:tr>
      <w:tr w:rsidR="0038772C" w:rsidRPr="0038772C" w:rsidTr="000D478E">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9.</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Anije për mjete lëvizëse</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r>
      <w:tr w:rsidR="0038772C" w:rsidRPr="0038772C" w:rsidTr="000D478E">
        <w:trPr>
          <w:trHeight w:val="332"/>
        </w:trPr>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10.</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Transportues mjetesh lëvizëse</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r>
      <w:tr w:rsidR="0038772C" w:rsidRPr="0038772C" w:rsidTr="000D478E">
        <w:tc>
          <w:tcPr>
            <w:tcW w:w="416"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11.</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 xml:space="preserve">Cisternë, jo për gaz </w:t>
            </w:r>
            <w:r w:rsidRPr="0038772C">
              <w:rPr>
                <w:rFonts w:ascii="Times New Roman" w:eastAsia="Calibri" w:hAnsi="Times New Roman" w:cs="Times New Roman"/>
                <w:sz w:val="16"/>
                <w:szCs w:val="16"/>
                <w:lang w:val="en-GB" w:eastAsia="en-GB"/>
              </w:rPr>
              <w:tab/>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r>
      <w:tr w:rsidR="00B72A24" w:rsidRPr="0038772C" w:rsidTr="000D478E">
        <w:trPr>
          <w:trHeight w:val="317"/>
        </w:trPr>
        <w:tc>
          <w:tcPr>
            <w:tcW w:w="41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12.</w:t>
            </w:r>
          </w:p>
        </w:tc>
        <w:tc>
          <w:tcPr>
            <w:tcW w:w="1819" w:type="dxa"/>
          </w:tcPr>
          <w:p w:rsidR="00B72A24" w:rsidRPr="0038772C" w:rsidRDefault="00B72A24" w:rsidP="00B72A24">
            <w:pPr>
              <w:spacing w:after="0" w:line="240" w:lineRule="auto"/>
              <w:jc w:val="both"/>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Mjete të tjera</w:t>
            </w:r>
          </w:p>
        </w:tc>
        <w:tc>
          <w:tcPr>
            <w:tcW w:w="850"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1</w:t>
            </w:r>
          </w:p>
        </w:tc>
        <w:tc>
          <w:tcPr>
            <w:tcW w:w="1134"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2</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5"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3</w:t>
            </w:r>
          </w:p>
        </w:tc>
        <w:tc>
          <w:tcPr>
            <w:tcW w:w="1276"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4</w:t>
            </w:r>
          </w:p>
        </w:tc>
        <w:tc>
          <w:tcPr>
            <w:tcW w:w="851" w:type="dxa"/>
          </w:tcPr>
          <w:p w:rsidR="00B72A24" w:rsidRPr="0038772C" w:rsidRDefault="00B72A24" w:rsidP="00B72A24">
            <w:pPr>
              <w:spacing w:after="0" w:line="240" w:lineRule="auto"/>
              <w:jc w:val="center"/>
              <w:rPr>
                <w:rFonts w:ascii="Times New Roman" w:eastAsia="Calibri" w:hAnsi="Times New Roman" w:cs="Times New Roman"/>
                <w:sz w:val="16"/>
                <w:szCs w:val="16"/>
                <w:lang w:val="en-GB" w:eastAsia="en-GB"/>
              </w:rPr>
            </w:pPr>
            <w:r w:rsidRPr="0038772C">
              <w:rPr>
                <w:rFonts w:ascii="Times New Roman" w:eastAsia="Calibri" w:hAnsi="Times New Roman" w:cs="Times New Roman"/>
                <w:sz w:val="16"/>
                <w:szCs w:val="16"/>
                <w:lang w:val="en-GB" w:eastAsia="en-GB"/>
              </w:rPr>
              <w:t>5</w:t>
            </w:r>
          </w:p>
        </w:tc>
      </w:tr>
    </w:tbl>
    <w:p w:rsidR="00B72A24" w:rsidRPr="0038772C" w:rsidRDefault="00B72A24" w:rsidP="00B72A24">
      <w:pPr>
        <w:spacing w:after="0" w:line="240" w:lineRule="auto"/>
        <w:rPr>
          <w:rFonts w:ascii="Times New Roman" w:eastAsia="Times New Roman" w:hAnsi="Times New Roman" w:cs="Times New Roman"/>
          <w:noProof/>
          <w:sz w:val="16"/>
          <w:szCs w:val="16"/>
          <w:lang w:val="en-GB"/>
        </w:rPr>
      </w:pP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p w:rsidR="00B72A24" w:rsidRPr="0038772C" w:rsidRDefault="00B72A24" w:rsidP="00B72A24">
      <w:pPr>
        <w:spacing w:after="0" w:line="240" w:lineRule="auto"/>
        <w:jc w:val="center"/>
        <w:rPr>
          <w:rFonts w:ascii="Times New Roman" w:eastAsia="Calibri" w:hAnsi="Times New Roman" w:cs="Times New Roman"/>
          <w:lang w:val="it-IT" w:eastAsia="en-GB"/>
        </w:rPr>
      </w:pPr>
      <w:r w:rsidRPr="0038772C">
        <w:rPr>
          <w:rFonts w:ascii="Times New Roman" w:eastAsia="Calibri" w:hAnsi="Times New Roman" w:cs="Times New Roman"/>
          <w:sz w:val="24"/>
          <w:szCs w:val="24"/>
          <w:lang w:val="en-GB" w:eastAsia="en-GB"/>
        </w:rPr>
        <w:t>ANEKS IV</w:t>
      </w: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 xml:space="preserve">FORMATI I CERTIFIKATËS SË DORËZIMIT TË MBETJEVE  </w:t>
      </w: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(referuar në Seksionin VIII të kësaj Rregullore)</w:t>
      </w: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p w:rsidR="00B72A24" w:rsidRPr="0038772C" w:rsidRDefault="00B72A24" w:rsidP="00B72A24">
      <w:pPr>
        <w:spacing w:after="0" w:line="240" w:lineRule="auto"/>
        <w:jc w:val="center"/>
        <w:outlineLvl w:val="0"/>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ÇERTIFIKATA E DORËZIMIT TË MBETJEVE</w:t>
      </w:r>
    </w:p>
    <w:p w:rsidR="00B72A24" w:rsidRPr="0038772C" w:rsidRDefault="00B72A24" w:rsidP="00B72A24">
      <w:pPr>
        <w:spacing w:after="0" w:line="240" w:lineRule="auto"/>
        <w:jc w:val="center"/>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(CERTIFICATE OF WASTE DELIVERY)</w:t>
      </w: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1647"/>
        <w:gridCol w:w="1671"/>
        <w:gridCol w:w="833"/>
        <w:gridCol w:w="800"/>
        <w:gridCol w:w="1646"/>
        <w:gridCol w:w="1628"/>
      </w:tblGrid>
      <w:tr w:rsidR="0038772C" w:rsidRPr="0038772C" w:rsidTr="000D478E">
        <w:tc>
          <w:tcPr>
            <w:tcW w:w="1351" w:type="dxa"/>
          </w:tcPr>
          <w:p w:rsidR="00B72A24" w:rsidRPr="0038772C" w:rsidRDefault="00B72A24" w:rsidP="00B72A24">
            <w:pPr>
              <w:numPr>
                <w:ilvl w:val="0"/>
                <w:numId w:val="5"/>
              </w:numPr>
              <w:spacing w:before="240" w:after="0" w:line="240" w:lineRule="auto"/>
              <w:contextualSpacing/>
              <w:jc w:val="center"/>
              <w:rPr>
                <w:rFonts w:ascii="Times New Roman" w:eastAsia="Calibri" w:hAnsi="Times New Roman" w:cs="Times New Roman"/>
                <w:sz w:val="24"/>
                <w:szCs w:val="24"/>
                <w:lang w:val="en-GB" w:eastAsia="en-GB"/>
              </w:rPr>
            </w:pP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Emri, adresa, numri i rregjistrimit të operatorit të mbetjeve dhe/ose instalimeve marrëse portuale;</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(Name, address, registration number of the waste operator and/or the port reception facilities)</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numPr>
                <w:ilvl w:val="0"/>
                <w:numId w:val="5"/>
              </w:numPr>
              <w:spacing w:before="240" w:after="0" w:line="240" w:lineRule="auto"/>
              <w:contextualSpacing/>
              <w:jc w:val="center"/>
              <w:rPr>
                <w:rFonts w:ascii="Times New Roman" w:eastAsia="Calibri" w:hAnsi="Times New Roman" w:cs="Times New Roman"/>
                <w:sz w:val="24"/>
                <w:szCs w:val="24"/>
                <w:lang w:val="en-GB" w:eastAsia="en-GB"/>
              </w:rPr>
            </w:pP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Emrin, shenjën e thirrjes dhe, kur është e përshtatshme, numrin IMO të identifikimit të anijes;</w:t>
            </w:r>
          </w:p>
          <w:p w:rsidR="00B72A24" w:rsidRPr="0038772C" w:rsidRDefault="00B72A24" w:rsidP="00B72A24">
            <w:pPr>
              <w:spacing w:after="0" w:line="240" w:lineRule="auto"/>
              <w:jc w:val="both"/>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(Name, call sign and, where appropriate, IMO identification number of the ship)</w:t>
            </w:r>
          </w:p>
          <w:p w:rsidR="00B72A24" w:rsidRPr="0038772C" w:rsidRDefault="00B72A24" w:rsidP="00B72A24">
            <w:pPr>
              <w:spacing w:after="0" w:line="240" w:lineRule="auto"/>
              <w:jc w:val="both"/>
              <w:rPr>
                <w:rFonts w:ascii="Times New Roman" w:eastAsia="Calibri" w:hAnsi="Times New Roman" w:cs="Times New Roman"/>
                <w:sz w:val="20"/>
                <w:szCs w:val="20"/>
                <w:lang w:val="en-GB" w:eastAsia="en-GB"/>
              </w:rPr>
            </w:pPr>
          </w:p>
          <w:p w:rsidR="00B72A24" w:rsidRPr="0038772C" w:rsidRDefault="00B72A24" w:rsidP="00B72A24">
            <w:pPr>
              <w:spacing w:after="0" w:line="240" w:lineRule="auto"/>
              <w:jc w:val="both"/>
              <w:rPr>
                <w:rFonts w:ascii="Times New Roman" w:eastAsia="Calibri" w:hAnsi="Times New Roman" w:cs="Times New Roman"/>
                <w:sz w:val="20"/>
                <w:szCs w:val="20"/>
                <w:lang w:val="en-GB" w:eastAsia="en-GB"/>
              </w:rPr>
            </w:pPr>
          </w:p>
        </w:tc>
      </w:tr>
      <w:tr w:rsidR="0038772C" w:rsidRPr="0038772C" w:rsidTr="000D478E">
        <w:tc>
          <w:tcPr>
            <w:tcW w:w="1351" w:type="dxa"/>
          </w:tcPr>
          <w:p w:rsidR="00B72A24" w:rsidRPr="0038772C" w:rsidRDefault="00B72A24" w:rsidP="00B72A24">
            <w:pPr>
              <w:numPr>
                <w:ilvl w:val="0"/>
                <w:numId w:val="5"/>
              </w:numPr>
              <w:spacing w:before="240" w:after="0" w:line="240" w:lineRule="auto"/>
              <w:contextualSpacing/>
              <w:jc w:val="center"/>
              <w:rPr>
                <w:rFonts w:ascii="Times New Roman" w:eastAsia="Calibri" w:hAnsi="Times New Roman" w:cs="Times New Roman"/>
                <w:sz w:val="24"/>
                <w:szCs w:val="24"/>
                <w:lang w:val="en-GB" w:eastAsia="en-GB"/>
              </w:rPr>
            </w:pP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 xml:space="preserve">Flamurin e Shtetit </w:t>
            </w:r>
            <w:r w:rsidRPr="0038772C">
              <w:rPr>
                <w:rFonts w:ascii="Times New Roman" w:eastAsia="Calibri" w:hAnsi="Times New Roman" w:cs="Times New Roman"/>
                <w:sz w:val="20"/>
                <w:szCs w:val="20"/>
                <w:lang w:val="en-GB" w:eastAsia="en-GB"/>
              </w:rPr>
              <w:t>(Flag State)</w:t>
            </w:r>
          </w:p>
        </w:tc>
      </w:tr>
      <w:tr w:rsidR="0038772C" w:rsidRPr="0038772C" w:rsidTr="000D478E">
        <w:tc>
          <w:tcPr>
            <w:tcW w:w="1351" w:type="dxa"/>
          </w:tcPr>
          <w:p w:rsidR="00B72A24" w:rsidRPr="0038772C" w:rsidRDefault="00B72A24" w:rsidP="00B72A24">
            <w:pPr>
              <w:numPr>
                <w:ilvl w:val="0"/>
                <w:numId w:val="5"/>
              </w:numPr>
              <w:spacing w:before="240" w:after="0" w:line="240" w:lineRule="auto"/>
              <w:contextualSpacing/>
              <w:jc w:val="center"/>
              <w:rPr>
                <w:rFonts w:ascii="Times New Roman" w:eastAsia="Calibri" w:hAnsi="Times New Roman" w:cs="Times New Roman"/>
                <w:sz w:val="24"/>
                <w:szCs w:val="24"/>
                <w:lang w:val="en-GB" w:eastAsia="en-GB"/>
              </w:rPr>
            </w:pPr>
          </w:p>
        </w:tc>
        <w:tc>
          <w:tcPr>
            <w:tcW w:w="4151" w:type="dxa"/>
            <w:gridSpan w:val="3"/>
          </w:tcPr>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Dorëzimi i mbetjeve (shëno kutinë e duhur)</w:t>
            </w:r>
          </w:p>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të gjitha  disa  asnjë</w:t>
            </w:r>
          </w:p>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të mbetjeve në instalimet marrëse portuale?</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4074" w:type="dxa"/>
            <w:gridSpan w:val="3"/>
          </w:tcPr>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Waste delivered (tick appropriate box):      all some none</w:t>
            </w:r>
          </w:p>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of your waste into a port reception facilities?</w:t>
            </w:r>
          </w:p>
          <w:p w:rsidR="00B72A24" w:rsidRPr="0038772C" w:rsidRDefault="00B72A24" w:rsidP="00B72A24">
            <w:pPr>
              <w:spacing w:after="0" w:line="240" w:lineRule="auto"/>
              <w:jc w:val="center"/>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numPr>
                <w:ilvl w:val="0"/>
                <w:numId w:val="5"/>
              </w:numPr>
              <w:spacing w:before="240" w:after="0" w:line="240" w:lineRule="auto"/>
              <w:contextualSpacing/>
              <w:jc w:val="center"/>
              <w:rPr>
                <w:rFonts w:ascii="Times New Roman" w:eastAsia="Calibri" w:hAnsi="Times New Roman" w:cs="Times New Roman"/>
                <w:sz w:val="24"/>
                <w:szCs w:val="24"/>
                <w:lang w:val="en-GB" w:eastAsia="en-GB"/>
              </w:rPr>
            </w:pP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Llojin dhe sasinë e mbetjeve dhe tepricave të dorëzuara dhe/ose të mbajtura në bord:</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(Type and amount of waste and residues delivered and/or remaining on board)</w:t>
            </w:r>
          </w:p>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p>
        </w:tc>
      </w:tr>
      <w:tr w:rsidR="0038772C" w:rsidRPr="0038772C" w:rsidTr="000D478E">
        <w:trPr>
          <w:trHeight w:val="2259"/>
        </w:trPr>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Lloji</w:t>
            </w:r>
          </w:p>
          <w:p w:rsidR="00B72A24" w:rsidRPr="0038772C" w:rsidRDefault="00B72A24" w:rsidP="00B72A24">
            <w:pPr>
              <w:spacing w:after="0" w:line="240" w:lineRule="auto"/>
              <w:rPr>
                <w:rFonts w:ascii="Times New Roman" w:eastAsia="Calibri" w:hAnsi="Times New Roman" w:cs="Times New Roman"/>
                <w:lang w:val="en-GB" w:eastAsia="en-GB"/>
              </w:rPr>
            </w:pPr>
            <w:r w:rsidRPr="0038772C">
              <w:rPr>
                <w:rFonts w:ascii="Times New Roman" w:eastAsia="Calibri" w:hAnsi="Times New Roman" w:cs="Times New Roman"/>
                <w:lang w:val="en-GB" w:eastAsia="en-GB"/>
              </w:rPr>
              <w:t>(Type)</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p>
          <w:p w:rsidR="00B72A24" w:rsidRPr="0038772C" w:rsidRDefault="00B72A24" w:rsidP="00B72A24">
            <w:pPr>
              <w:spacing w:after="0" w:line="240" w:lineRule="auto"/>
              <w:jc w:val="both"/>
              <w:rPr>
                <w:rFonts w:ascii="Times New Roman" w:eastAsia="Calibri" w:hAnsi="Times New Roman" w:cs="Times New Roman"/>
                <w:sz w:val="24"/>
                <w:szCs w:val="24"/>
                <w:lang w:val="en-GB" w:eastAsia="en-GB"/>
              </w:rPr>
            </w:pPr>
          </w:p>
        </w:tc>
        <w:tc>
          <w:tcPr>
            <w:tcW w:w="1647" w:type="dxa"/>
          </w:tcPr>
          <w:p w:rsidR="00B72A24" w:rsidRPr="0038772C" w:rsidRDefault="00B72A24" w:rsidP="00B72A24">
            <w:pPr>
              <w:spacing w:after="0" w:line="240" w:lineRule="auto"/>
              <w:rPr>
                <w:rFonts w:ascii="Times New Roman" w:eastAsia="Calibri" w:hAnsi="Times New Roman" w:cs="Times New Roman"/>
                <w:lang w:val="en-GB" w:eastAsia="en-GB"/>
              </w:rPr>
            </w:pPr>
            <w:r w:rsidRPr="0038772C">
              <w:rPr>
                <w:rFonts w:ascii="Times New Roman" w:eastAsia="Calibri" w:hAnsi="Times New Roman" w:cs="Times New Roman"/>
                <w:lang w:val="en-GB" w:eastAsia="en-GB"/>
              </w:rPr>
              <w:t>Mbetjet që do të dorëzohen (në m</w:t>
            </w:r>
            <w:r w:rsidRPr="0038772C">
              <w:rPr>
                <w:rFonts w:ascii="Times New Roman" w:eastAsia="Calibri" w:hAnsi="Times New Roman" w:cs="Times New Roman"/>
                <w:vertAlign w:val="superscript"/>
                <w:lang w:val="en-GB" w:eastAsia="en-GB"/>
              </w:rPr>
              <w:t>3</w:t>
            </w:r>
            <w:r w:rsidRPr="0038772C">
              <w:rPr>
                <w:rFonts w:ascii="Times New Roman" w:eastAsia="Calibri" w:hAnsi="Times New Roman" w:cs="Times New Roman"/>
                <w:lang w:val="en-GB" w:eastAsia="en-GB"/>
              </w:rPr>
              <w:t>)</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(Total waste delivered</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m3)</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autoSpaceDE w:val="0"/>
              <w:autoSpaceDN w:val="0"/>
              <w:adjustRightInd w:val="0"/>
              <w:spacing w:after="0" w:line="240" w:lineRule="auto"/>
              <w:jc w:val="both"/>
              <w:rPr>
                <w:rFonts w:ascii="Times New Roman" w:eastAsia="Calibri" w:hAnsi="Times New Roman" w:cs="Times New Roman"/>
                <w:lang w:val="en-GB" w:eastAsia="en-GB"/>
              </w:rPr>
            </w:pPr>
            <w:r w:rsidRPr="0038772C">
              <w:rPr>
                <w:rFonts w:ascii="Times New Roman" w:eastAsia="Calibri" w:hAnsi="Times New Roman" w:cs="Times New Roman"/>
                <w:lang w:val="en-GB" w:eastAsia="en-GB"/>
              </w:rPr>
              <w:t>Kapaciteti maksimal i magazinimit (në m</w:t>
            </w:r>
            <w:r w:rsidRPr="0038772C">
              <w:rPr>
                <w:rFonts w:ascii="Times New Roman" w:eastAsia="Calibri" w:hAnsi="Times New Roman" w:cs="Times New Roman"/>
                <w:vertAlign w:val="superscript"/>
                <w:lang w:val="en-GB" w:eastAsia="en-GB"/>
              </w:rPr>
              <w:t>3</w:t>
            </w:r>
            <w:r w:rsidRPr="0038772C">
              <w:rPr>
                <w:rFonts w:ascii="Times New Roman" w:eastAsia="Calibri" w:hAnsi="Times New Roman" w:cs="Times New Roman"/>
                <w:lang w:val="en-GB" w:eastAsia="en-GB"/>
              </w:rPr>
              <w:t>)</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(Maximum</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dedicated</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storage capacity</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m3)</w:t>
            </w: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lang w:val="en-GB" w:eastAsia="en-GB"/>
              </w:rPr>
              <w:t>Sasinë e mbetjeve që do të mbahen në bord (në m</w:t>
            </w:r>
            <w:r w:rsidRPr="0038772C">
              <w:rPr>
                <w:rFonts w:ascii="Times New Roman" w:eastAsia="Calibri" w:hAnsi="Times New Roman" w:cs="Times New Roman"/>
                <w:vertAlign w:val="superscript"/>
                <w:lang w:val="en-GB" w:eastAsia="en-GB"/>
              </w:rPr>
              <w:t>3 )</w:t>
            </w:r>
            <w:r w:rsidRPr="0038772C">
              <w:rPr>
                <w:rFonts w:ascii="Times New Roman" w:eastAsia="Calibri" w:hAnsi="Times New Roman" w:cs="Times New Roman"/>
                <w:sz w:val="16"/>
                <w:szCs w:val="16"/>
                <w:vertAlign w:val="superscript"/>
                <w:lang w:val="en-GB" w:eastAsia="en-GB"/>
              </w:rPr>
              <w:t xml:space="preserve">   </w:t>
            </w:r>
            <w:r w:rsidRPr="0038772C">
              <w:rPr>
                <w:rFonts w:ascii="Times New Roman" w:eastAsia="Calibri" w:hAnsi="Times New Roman" w:cs="Times New Roman"/>
                <w:sz w:val="20"/>
                <w:szCs w:val="20"/>
                <w:lang w:val="en-GB" w:eastAsia="en-GB"/>
              </w:rPr>
              <w:t>Amount of</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waste retained</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on board</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m3</w:t>
            </w: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lang w:val="en-GB" w:eastAsia="en-GB"/>
              </w:rPr>
            </w:pPr>
            <w:r w:rsidRPr="0038772C">
              <w:rPr>
                <w:rFonts w:ascii="Times New Roman" w:eastAsia="Calibri" w:hAnsi="Times New Roman" w:cs="Times New Roman"/>
                <w:lang w:val="en-GB" w:eastAsia="en-GB"/>
              </w:rPr>
              <w:t>Porti ku do të dorëzohen mbetjet e mbajtura</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 Port at which</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remaining</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waste will be</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delivered)</w:t>
            </w: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lang w:val="en-GB" w:eastAsia="en-GB"/>
              </w:rPr>
            </w:pPr>
            <w:r w:rsidRPr="0038772C">
              <w:rPr>
                <w:rFonts w:ascii="Times New Roman" w:eastAsia="Calibri" w:hAnsi="Times New Roman" w:cs="Times New Roman"/>
                <w:lang w:val="en-GB" w:eastAsia="en-GB"/>
              </w:rPr>
              <w:t>Sasia e dorëzuar sipas llojit tw mbetjes</w:t>
            </w:r>
          </w:p>
          <w:p w:rsidR="00B72A24" w:rsidRPr="0038772C" w:rsidRDefault="00B72A24" w:rsidP="00B72A24">
            <w:pPr>
              <w:spacing w:after="0" w:line="240" w:lineRule="auto"/>
              <w:rPr>
                <w:rFonts w:ascii="Times New Roman" w:eastAsia="Calibri" w:hAnsi="Times New Roman" w:cs="Times New Roman"/>
                <w:sz w:val="20"/>
                <w:szCs w:val="20"/>
                <w:lang w:val="en-GB" w:eastAsia="en-GB"/>
              </w:rPr>
            </w:pPr>
            <w:r w:rsidRPr="0038772C">
              <w:rPr>
                <w:rFonts w:ascii="Times New Roman" w:eastAsia="Calibri" w:hAnsi="Times New Roman" w:cs="Times New Roman"/>
                <w:sz w:val="20"/>
                <w:szCs w:val="20"/>
                <w:lang w:val="en-GB" w:eastAsia="en-GB"/>
              </w:rPr>
              <w:t>(Quantity delivered per waste type)</w:t>
            </w: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p w:rsidR="00B72A24" w:rsidRPr="0038772C" w:rsidRDefault="00B72A24" w:rsidP="00B72A24">
            <w:pPr>
              <w:spacing w:after="0" w:line="240" w:lineRule="auto"/>
              <w:rPr>
                <w:rFonts w:ascii="Times New Roman" w:eastAsia="Calibri" w:hAnsi="Times New Roman" w:cs="Times New Roman"/>
                <w:sz w:val="18"/>
                <w:szCs w:val="18"/>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Vajra të përdorur</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(Waste oils)</w:t>
            </w: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Llumra</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(Sludge)</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Ujë i sentinave (Bilge water)</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 xml:space="preserve">Të tjera </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(Përcakto)</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Others (specify)</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Mbetje</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(Garbage)</w:t>
            </w: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Mbetje nga ushqimet (Food waste)</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Mbetje Plastike</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(Plastic)</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Mbetje të tjera</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(Other)</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Ujëra të ndotura</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lastRenderedPageBreak/>
              <w:t>(Sewage)</w:t>
            </w:r>
          </w:p>
        </w:tc>
        <w:tc>
          <w:tcPr>
            <w:tcW w:w="8225" w:type="dxa"/>
            <w:gridSpan w:val="6"/>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lastRenderedPageBreak/>
              <w:t>Ujëra të ndotura</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(Sewage)</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Mbetje që shoqërojnë ngarkesat</w:t>
            </w:r>
            <w:r w:rsidRPr="0038772C">
              <w:rPr>
                <w:rFonts w:ascii="Times New Roman" w:eastAsia="Calibri" w:hAnsi="Times New Roman" w:cs="Times New Roman"/>
                <w:sz w:val="16"/>
                <w:szCs w:val="16"/>
                <w:lang w:val="en-GB" w:eastAsia="en-GB"/>
              </w:rPr>
              <w:t xml:space="preserve"> </w:t>
            </w:r>
            <w:r w:rsidRPr="0038772C">
              <w:rPr>
                <w:rFonts w:ascii="Times New Roman" w:eastAsia="Calibri" w:hAnsi="Times New Roman" w:cs="Times New Roman"/>
                <w:lang w:val="en-GB" w:eastAsia="en-GB"/>
              </w:rPr>
              <w:t>(Cargo associated waste)</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38772C" w:rsidRPr="0038772C" w:rsidTr="000D478E">
        <w:tc>
          <w:tcPr>
            <w:tcW w:w="135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r w:rsidRPr="0038772C">
              <w:rPr>
                <w:rFonts w:ascii="Times New Roman" w:eastAsia="Calibri" w:hAnsi="Times New Roman" w:cs="Times New Roman"/>
                <w:sz w:val="24"/>
                <w:szCs w:val="24"/>
                <w:lang w:val="en-GB" w:eastAsia="en-GB"/>
              </w:rPr>
              <w:t>Tepricat nga ngarkesat</w:t>
            </w:r>
            <w:r w:rsidRPr="0038772C">
              <w:rPr>
                <w:rFonts w:ascii="Times New Roman" w:eastAsia="Calibri" w:hAnsi="Times New Roman" w:cs="Times New Roman"/>
                <w:sz w:val="16"/>
                <w:szCs w:val="16"/>
                <w:lang w:val="en-GB" w:eastAsia="en-GB"/>
              </w:rPr>
              <w:t xml:space="preserve"> </w:t>
            </w:r>
            <w:r w:rsidRPr="0038772C">
              <w:rPr>
                <w:rFonts w:ascii="Times New Roman" w:eastAsia="Calibri" w:hAnsi="Times New Roman" w:cs="Times New Roman"/>
                <w:sz w:val="24"/>
                <w:szCs w:val="24"/>
                <w:lang w:val="en-GB" w:eastAsia="en-GB"/>
              </w:rPr>
              <w:t>(Cargo residues)</w:t>
            </w:r>
          </w:p>
        </w:tc>
        <w:tc>
          <w:tcPr>
            <w:tcW w:w="1647"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71"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33" w:type="dxa"/>
            <w:gridSpan w:val="2"/>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46"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c>
          <w:tcPr>
            <w:tcW w:w="1628" w:type="dxa"/>
          </w:tcPr>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r w:rsidR="00B72A24" w:rsidRPr="0038772C" w:rsidTr="000D478E">
        <w:tc>
          <w:tcPr>
            <w:tcW w:w="9576" w:type="dxa"/>
            <w:gridSpan w:val="7"/>
          </w:tcPr>
          <w:p w:rsidR="00B72A24" w:rsidRPr="0038772C" w:rsidRDefault="00B72A24" w:rsidP="00B72A24">
            <w:pPr>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Datë (Date)</w:t>
            </w:r>
          </w:p>
          <w:p w:rsidR="00B72A24" w:rsidRPr="0038772C" w:rsidRDefault="00B72A24" w:rsidP="00B72A24">
            <w:pPr>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Firma (Signature)</w:t>
            </w:r>
          </w:p>
          <w:p w:rsidR="00B72A24" w:rsidRPr="0038772C" w:rsidRDefault="00B72A24" w:rsidP="00B72A24">
            <w:pPr>
              <w:spacing w:after="0" w:line="240" w:lineRule="auto"/>
              <w:jc w:val="both"/>
              <w:rPr>
                <w:rFonts w:ascii="Times New Roman" w:eastAsia="Calibri" w:hAnsi="Times New Roman" w:cs="Times New Roman"/>
                <w:sz w:val="24"/>
                <w:szCs w:val="20"/>
                <w:lang w:val="en-GB" w:eastAsia="en-GB"/>
              </w:rPr>
            </w:pPr>
            <w:r w:rsidRPr="0038772C">
              <w:rPr>
                <w:rFonts w:ascii="Times New Roman" w:eastAsia="Calibri" w:hAnsi="Times New Roman" w:cs="Times New Roman"/>
                <w:sz w:val="24"/>
                <w:szCs w:val="20"/>
                <w:lang w:val="en-GB" w:eastAsia="en-GB"/>
              </w:rPr>
              <w:t>Vula e Kompanisë (Stamp of Company) </w:t>
            </w:r>
          </w:p>
          <w:p w:rsidR="00B72A24" w:rsidRPr="0038772C" w:rsidRDefault="00B72A24" w:rsidP="00B72A24">
            <w:pPr>
              <w:spacing w:after="0" w:line="240" w:lineRule="auto"/>
              <w:rPr>
                <w:rFonts w:ascii="Times New Roman" w:eastAsia="Calibri" w:hAnsi="Times New Roman" w:cs="Times New Roman"/>
                <w:sz w:val="24"/>
                <w:szCs w:val="24"/>
                <w:lang w:val="en-GB" w:eastAsia="en-GB"/>
              </w:rPr>
            </w:pPr>
          </w:p>
        </w:tc>
      </w:tr>
    </w:tbl>
    <w:p w:rsidR="00B72A24" w:rsidRPr="0038772C" w:rsidRDefault="00B72A24" w:rsidP="00B72A24">
      <w:pPr>
        <w:spacing w:before="240" w:after="0" w:line="240" w:lineRule="auto"/>
        <w:jc w:val="both"/>
        <w:rPr>
          <w:rFonts w:ascii="Times New Roman" w:eastAsia="Calibri" w:hAnsi="Times New Roman" w:cs="Times New Roman"/>
          <w:lang w:val="it-IT" w:eastAsia="en-GB"/>
        </w:rPr>
      </w:pPr>
    </w:p>
    <w:p w:rsidR="00B72A24" w:rsidRPr="0038772C" w:rsidRDefault="00B72A24" w:rsidP="00B72A24">
      <w:pPr>
        <w:spacing w:before="240" w:after="0" w:line="240" w:lineRule="auto"/>
        <w:jc w:val="both"/>
        <w:rPr>
          <w:rFonts w:ascii="Times New Roman" w:eastAsia="Calibri" w:hAnsi="Times New Roman" w:cs="Times New Roman"/>
          <w:sz w:val="24"/>
          <w:szCs w:val="20"/>
          <w:lang w:val="en-GB" w:eastAsia="en-GB"/>
        </w:rPr>
      </w:pPr>
    </w:p>
    <w:p w:rsidR="00B72A24" w:rsidRPr="0038772C" w:rsidRDefault="00B72A24" w:rsidP="00B72A24">
      <w:pPr>
        <w:jc w:val="both"/>
        <w:rPr>
          <w:rFonts w:ascii="Times New Roman" w:hAnsi="Times New Roman" w:cs="Times New Roman"/>
          <w:sz w:val="24"/>
          <w:szCs w:val="24"/>
        </w:rPr>
      </w:pPr>
    </w:p>
    <w:sectPr w:rsidR="00B72A24" w:rsidRPr="0038772C" w:rsidSect="00B72A2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CE8"/>
    <w:multiLevelType w:val="hybridMultilevel"/>
    <w:tmpl w:val="FD94C41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E502CCA"/>
    <w:multiLevelType w:val="hybridMultilevel"/>
    <w:tmpl w:val="E5D4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E21C5"/>
    <w:multiLevelType w:val="hybridMultilevel"/>
    <w:tmpl w:val="D534CFD2"/>
    <w:lvl w:ilvl="0" w:tplc="04090001">
      <w:start w:val="1"/>
      <w:numFmt w:val="bullet"/>
      <w:lvlText w:val=""/>
      <w:lvlJc w:val="left"/>
      <w:pPr>
        <w:ind w:left="720" w:hanging="360"/>
      </w:pPr>
      <w:rPr>
        <w:rFonts w:ascii="Symbol" w:hAnsi="Symbol" w:hint="default"/>
      </w:rPr>
    </w:lvl>
    <w:lvl w:ilvl="1" w:tplc="3E6659C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F627B"/>
    <w:multiLevelType w:val="hybridMultilevel"/>
    <w:tmpl w:val="BEAC8354"/>
    <w:lvl w:ilvl="0" w:tplc="97A886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B731D"/>
    <w:multiLevelType w:val="hybridMultilevel"/>
    <w:tmpl w:val="62A0270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CB15D16"/>
    <w:multiLevelType w:val="hybridMultilevel"/>
    <w:tmpl w:val="C0B0C32E"/>
    <w:lvl w:ilvl="0" w:tplc="D71E49D4">
      <w:start w:val="1"/>
      <w:numFmt w:val="decimal"/>
      <w:lvlText w:val="%1."/>
      <w:lvlJc w:val="left"/>
      <w:pPr>
        <w:ind w:left="360" w:hanging="360"/>
      </w:pPr>
      <w:rPr>
        <w:b/>
      </w:rPr>
    </w:lvl>
    <w:lvl w:ilvl="1" w:tplc="04090019">
      <w:start w:val="1"/>
      <w:numFmt w:val="lowerLetter"/>
      <w:lvlText w:val="%2."/>
      <w:lvlJc w:val="left"/>
      <w:pPr>
        <w:ind w:left="1080" w:hanging="360"/>
      </w:pPr>
    </w:lvl>
    <w:lvl w:ilvl="2" w:tplc="54DCF39E">
      <w:start w:val="1"/>
      <w:numFmt w:val="lowerLetter"/>
      <w:lvlText w:val="%3."/>
      <w:lvlJc w:val="left"/>
      <w:pPr>
        <w:ind w:left="360" w:hanging="360"/>
      </w:pPr>
      <w:rPr>
        <w:rFonts w:ascii="Times New Roman" w:eastAsia="Calibr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A2"/>
    <w:rsid w:val="000814FB"/>
    <w:rsid w:val="002F6B2F"/>
    <w:rsid w:val="0038772C"/>
    <w:rsid w:val="0039767B"/>
    <w:rsid w:val="006134C1"/>
    <w:rsid w:val="00B72A24"/>
    <w:rsid w:val="00DA3703"/>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2CD7-1CB7-4FFD-A660-C663C968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2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Polikron.Horeshka</dc:creator>
  <cp:lastModifiedBy>Polikron Horeshka</cp:lastModifiedBy>
  <cp:revision>6</cp:revision>
  <dcterms:created xsi:type="dcterms:W3CDTF">2016-01-05T15:07:00Z</dcterms:created>
  <dcterms:modified xsi:type="dcterms:W3CDTF">2018-08-27T08:52:00Z</dcterms:modified>
</cp:coreProperties>
</file>