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5B9" w:rsidRPr="00EC200C" w:rsidRDefault="005D45B9" w:rsidP="00300B2D">
      <w:pPr>
        <w:spacing w:line="360" w:lineRule="auto"/>
        <w:jc w:val="center"/>
        <w:rPr>
          <w:rFonts w:ascii="Times New Roman" w:hAnsi="Times New Roman" w:cs="Times New Roman"/>
          <w:sz w:val="24"/>
          <w:szCs w:val="24"/>
        </w:rPr>
      </w:pPr>
      <w:r w:rsidRPr="00EC200C">
        <w:rPr>
          <w:rFonts w:eastAsia="Times New Roman"/>
          <w:noProof/>
          <w:sz w:val="24"/>
          <w:szCs w:val="24"/>
        </w:rPr>
        <w:drawing>
          <wp:anchor distT="0" distB="0" distL="114300" distR="114300" simplePos="0" relativeHeight="251658240" behindDoc="0" locked="0" layoutInCell="1" allowOverlap="1" wp14:anchorId="242A0F3F" wp14:editId="7C97ACDD">
            <wp:simplePos x="0" y="0"/>
            <wp:positionH relativeFrom="column">
              <wp:posOffset>-786765</wp:posOffset>
            </wp:positionH>
            <wp:positionV relativeFrom="paragraph">
              <wp:posOffset>-873125</wp:posOffset>
            </wp:positionV>
            <wp:extent cx="7560945" cy="1228725"/>
            <wp:effectExtent l="0" t="0" r="1905" b="9525"/>
            <wp:wrapNone/>
            <wp:docPr id="1" name="Picture 1"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er me koke Keshilli i ministrave-1-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0945" cy="1228725"/>
                    </a:xfrm>
                    <a:prstGeom prst="rect">
                      <a:avLst/>
                    </a:prstGeom>
                    <a:noFill/>
                  </pic:spPr>
                </pic:pic>
              </a:graphicData>
            </a:graphic>
            <wp14:sizeRelH relativeFrom="page">
              <wp14:pctWidth>0</wp14:pctWidth>
            </wp14:sizeRelH>
            <wp14:sizeRelV relativeFrom="page">
              <wp14:pctHeight>0</wp14:pctHeight>
            </wp14:sizeRelV>
          </wp:anchor>
        </w:drawing>
      </w:r>
    </w:p>
    <w:p w:rsidR="005D45B9" w:rsidRPr="00EC200C" w:rsidRDefault="005D45B9" w:rsidP="00300B2D">
      <w:pPr>
        <w:spacing w:line="360" w:lineRule="auto"/>
        <w:jc w:val="center"/>
        <w:rPr>
          <w:rFonts w:ascii="Times New Roman" w:hAnsi="Times New Roman" w:cs="Times New Roman"/>
          <w:sz w:val="24"/>
          <w:szCs w:val="24"/>
        </w:rPr>
      </w:pPr>
      <w:r w:rsidRPr="00EC200C">
        <w:rPr>
          <w:rFonts w:ascii="Times New Roman" w:hAnsi="Times New Roman" w:cs="Times New Roman"/>
          <w:sz w:val="24"/>
          <w:szCs w:val="24"/>
        </w:rPr>
        <w:t>V E N D I M</w:t>
      </w:r>
    </w:p>
    <w:p w:rsidR="005D45B9" w:rsidRPr="00EC200C" w:rsidRDefault="00274572" w:rsidP="00300B2D">
      <w:pPr>
        <w:spacing w:line="360" w:lineRule="auto"/>
        <w:jc w:val="center"/>
        <w:rPr>
          <w:rFonts w:ascii="Times New Roman" w:hAnsi="Times New Roman" w:cs="Times New Roman"/>
          <w:sz w:val="24"/>
          <w:szCs w:val="24"/>
        </w:rPr>
      </w:pPr>
      <w:r w:rsidRPr="00EC200C">
        <w:rPr>
          <w:rFonts w:ascii="Times New Roman" w:hAnsi="Times New Roman" w:cs="Times New Roman"/>
          <w:sz w:val="24"/>
          <w:szCs w:val="24"/>
        </w:rPr>
        <w:t>Nr. 127, datë 11. 02. 2015</w:t>
      </w:r>
    </w:p>
    <w:p w:rsidR="005D45B9" w:rsidRPr="00EC200C" w:rsidRDefault="005D45B9" w:rsidP="00300B2D">
      <w:pPr>
        <w:spacing w:line="360" w:lineRule="auto"/>
        <w:jc w:val="center"/>
        <w:rPr>
          <w:rFonts w:ascii="Times New Roman" w:hAnsi="Times New Roman" w:cs="Times New Roman"/>
          <w:sz w:val="24"/>
          <w:szCs w:val="24"/>
        </w:rPr>
      </w:pPr>
      <w:r w:rsidRPr="00EC200C">
        <w:rPr>
          <w:rFonts w:ascii="Times New Roman" w:hAnsi="Times New Roman" w:cs="Times New Roman"/>
          <w:sz w:val="24"/>
          <w:szCs w:val="24"/>
        </w:rPr>
        <w:t>PËR</w:t>
      </w:r>
    </w:p>
    <w:p w:rsidR="005D45B9" w:rsidRPr="00EC200C" w:rsidRDefault="005D45B9" w:rsidP="00300B2D">
      <w:pPr>
        <w:spacing w:line="360" w:lineRule="auto"/>
        <w:jc w:val="center"/>
        <w:rPr>
          <w:rFonts w:ascii="Times New Roman" w:hAnsi="Times New Roman" w:cs="Times New Roman"/>
          <w:sz w:val="24"/>
          <w:szCs w:val="24"/>
        </w:rPr>
      </w:pPr>
      <w:r w:rsidRPr="00EC200C">
        <w:rPr>
          <w:rFonts w:ascii="Times New Roman" w:hAnsi="Times New Roman" w:cs="Times New Roman"/>
          <w:sz w:val="24"/>
          <w:szCs w:val="24"/>
        </w:rPr>
        <w:t>KËRKESAT PËR PËRDORIMIN NË BUJQËSI TË LLUMRAVE</w:t>
      </w:r>
      <w:bookmarkStart w:id="0" w:name="_GoBack"/>
      <w:bookmarkEnd w:id="0"/>
      <w:r w:rsidRPr="00EC200C">
        <w:rPr>
          <w:rFonts w:ascii="Times New Roman" w:hAnsi="Times New Roman" w:cs="Times New Roman"/>
          <w:sz w:val="24"/>
          <w:szCs w:val="24"/>
        </w:rPr>
        <w:t xml:space="preserve"> TË UJËRAVE TË NDOTURA*</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Në mbështetje të nenit 100 të Kushtetutës dhe nenit 34, të ligjit nr.10463, datë 22.9.2011, “Për menaxhimin e integruar të mbetjeve”, të ndryshuar, me propozimin e ministrit të Mjedisit dhe ministrit të Bujqësisë, Zhvillimit Rural dhe Administrimit të Ujër</w:t>
      </w:r>
      <w:r w:rsidR="00300B2D" w:rsidRPr="00EC200C">
        <w:rPr>
          <w:rFonts w:ascii="Times New Roman" w:hAnsi="Times New Roman" w:cs="Times New Roman"/>
          <w:sz w:val="24"/>
          <w:szCs w:val="24"/>
        </w:rPr>
        <w:t>ave, Këshilli i Ministrave,</w:t>
      </w:r>
    </w:p>
    <w:p w:rsidR="005D45B9" w:rsidRPr="00EC200C" w:rsidRDefault="005D45B9" w:rsidP="00300B2D">
      <w:pPr>
        <w:spacing w:line="360" w:lineRule="auto"/>
        <w:jc w:val="center"/>
        <w:rPr>
          <w:rFonts w:ascii="Times New Roman" w:hAnsi="Times New Roman" w:cs="Times New Roman"/>
          <w:sz w:val="24"/>
          <w:szCs w:val="24"/>
        </w:rPr>
      </w:pPr>
      <w:r w:rsidRPr="00EC200C">
        <w:rPr>
          <w:rFonts w:ascii="Times New Roman" w:hAnsi="Times New Roman" w:cs="Times New Roman"/>
          <w:sz w:val="24"/>
          <w:szCs w:val="24"/>
        </w:rPr>
        <w:t>V E N D O S I:</w:t>
      </w:r>
    </w:p>
    <w:p w:rsidR="005D45B9" w:rsidRPr="00EC200C" w:rsidRDefault="005D45B9" w:rsidP="00300B2D">
      <w:pPr>
        <w:spacing w:line="360" w:lineRule="auto"/>
        <w:jc w:val="center"/>
        <w:rPr>
          <w:rFonts w:ascii="Times New Roman" w:hAnsi="Times New Roman" w:cs="Times New Roman"/>
          <w:sz w:val="24"/>
          <w:szCs w:val="24"/>
        </w:rPr>
      </w:pPr>
      <w:r w:rsidRPr="00EC200C">
        <w:rPr>
          <w:rFonts w:ascii="Times New Roman" w:hAnsi="Times New Roman" w:cs="Times New Roman"/>
          <w:sz w:val="24"/>
          <w:szCs w:val="24"/>
        </w:rPr>
        <w:t>KREU I</w:t>
      </w:r>
    </w:p>
    <w:p w:rsidR="005D45B9" w:rsidRPr="00EC200C" w:rsidRDefault="00300B2D" w:rsidP="00300B2D">
      <w:pPr>
        <w:spacing w:line="360" w:lineRule="auto"/>
        <w:jc w:val="center"/>
        <w:rPr>
          <w:rFonts w:ascii="Times New Roman" w:hAnsi="Times New Roman" w:cs="Times New Roman"/>
          <w:sz w:val="24"/>
          <w:szCs w:val="24"/>
        </w:rPr>
      </w:pPr>
      <w:r w:rsidRPr="00EC200C">
        <w:rPr>
          <w:rFonts w:ascii="Times New Roman" w:hAnsi="Times New Roman" w:cs="Times New Roman"/>
          <w:sz w:val="24"/>
          <w:szCs w:val="24"/>
        </w:rPr>
        <w:t>TË PËRGJITHSHME</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1.    Qëllimi i këtij vendimi është të rregullojë përdorimin korrekt në bujqësi të llumrave të ujërave të ndotura, duke nxitur ato mënyra që parandalojnë efektet e dëmshme në tokë, bimësi, kafshë dhe tek njerëzit.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2.    Për qëllim të këtij vendimi, termat e mëposhtme nënkuptojnë: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a)    “Autoriteti kompetent” është Ministria e Mjedisit (MM), Agjencia Kombëtare e Mjedisit (AKM), Inspektorati Shtetëror i Mjedisit, Pyjeve dhe Ujërave, Ministria e Bujqësisë, Zhvillimit Rural dhe Administrimit të Ujërave (MBZHRAU), Inspektorati Shtetëror i Mbrojtjes së Tokës dhe Qendra e Transferimit të Teknologjive Bujqësore (QTTB); </w:t>
      </w:r>
    </w:p>
    <w:p w:rsidR="005D45B9" w:rsidRPr="00EC200C" w:rsidRDefault="005D45B9" w:rsidP="00300B2D">
      <w:pPr>
        <w:spacing w:line="360" w:lineRule="auto"/>
        <w:rPr>
          <w:rFonts w:ascii="Times New Roman" w:hAnsi="Times New Roman" w:cs="Times New Roman"/>
          <w:sz w:val="24"/>
          <w:szCs w:val="24"/>
        </w:rPr>
      </w:pPr>
      <w:r w:rsidRPr="00EC200C">
        <w:rPr>
          <w:rFonts w:ascii="Times New Roman" w:hAnsi="Times New Roman" w:cs="Times New Roman"/>
          <w:sz w:val="24"/>
          <w:szCs w:val="24"/>
        </w:rPr>
        <w:t>b)    “Bujqësi”, sipas përkufizimit në ligjin nr.9717, datë 22.10.2007, “Për bu</w:t>
      </w:r>
      <w:r w:rsidR="00300B2D" w:rsidRPr="00EC200C">
        <w:rPr>
          <w:rFonts w:ascii="Times New Roman" w:hAnsi="Times New Roman" w:cs="Times New Roman"/>
          <w:sz w:val="24"/>
          <w:szCs w:val="24"/>
        </w:rPr>
        <w:t>jqësinë dhe zhvillimin rural”;                                              ______</w:t>
      </w:r>
      <w:r w:rsidRPr="00EC200C">
        <w:rPr>
          <w:rFonts w:ascii="Times New Roman" w:hAnsi="Times New Roman" w:cs="Times New Roman"/>
          <w:sz w:val="24"/>
          <w:szCs w:val="24"/>
        </w:rPr>
        <w:t>____________________________________________</w:t>
      </w:r>
      <w:r w:rsidR="00300B2D" w:rsidRPr="00EC200C">
        <w:rPr>
          <w:rFonts w:ascii="Times New Roman" w:hAnsi="Times New Roman" w:cs="Times New Roman"/>
          <w:sz w:val="24"/>
          <w:szCs w:val="24"/>
        </w:rPr>
        <w:t xml:space="preserve">                                                    </w:t>
      </w:r>
      <w:r w:rsidRPr="00EC200C">
        <w:rPr>
          <w:rFonts w:ascii="Times New Roman" w:hAnsi="Times New Roman" w:cs="Times New Roman"/>
          <w:sz w:val="24"/>
          <w:szCs w:val="24"/>
        </w:rPr>
        <w:t xml:space="preserve">*Direktiva 86/278/EEC “Për mbrojtjen e mjedisit dhe veçanërisht të tokës, kur llumrat e ujërave të ndotura përdoren në bujqesi” ndryshuar nga Direktiva 91/692/EEC, rregullorja (EC) 807/2003 </w:t>
      </w:r>
      <w:r w:rsidRPr="00EC200C">
        <w:rPr>
          <w:rFonts w:ascii="Times New Roman" w:hAnsi="Times New Roman" w:cs="Times New Roman"/>
          <w:sz w:val="24"/>
          <w:szCs w:val="24"/>
        </w:rPr>
        <w:lastRenderedPageBreak/>
        <w:t>dhe rregullorja (EC) 219/2009. Numri CELEX 1986L0278, Fletorja Zyrtare e Bashkimit Evropian, Seria  L, nr.181, datë 4.7.1986, faqe 6.</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c)    “Ekuivalent popullsie (p.e.)” është ngarkesa organike e biodegradueshme, që ka kërkesë biokimike pesëditore për oksigjen (BOD5), prej 60 g. oksigjen në ditë;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ç) “Impiant trajtimi i ujërave të ndotura” është njësia që trajton dhe pastron ujërat e ndotura me prejardhje nga përdorimi familjar dhe/ose industrial, me kapacitet total trajtimi më shumë se 500 PE, përfshirë dhe pjesën e fundit në derdhje të kolektorit të ujërave të ndotura;</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d)    “Impiant i vogël trajtimi i ujërave të ndotura” është impianti me  kapacitet total trajtimi më pak se 500 PE;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dh)  “Impiant individual ose lokal trajtimi i ujërave të ndotura” është gropa septike, gropa e ujërave të zeza, gropa e banjove, banjo në oborr me gropë ose drenazhi francez, i cili shërben për trajtimin në vend të ujërave të ndotura, në zonat ku nuk ka sistem publik kanalizimesh;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e)  “Llum” janë llumrat që mbeten nga: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i.    impiantet e trajtimit të ujërave të n</w:t>
      </w:r>
      <w:r w:rsidR="00C20322" w:rsidRPr="00EC200C">
        <w:rPr>
          <w:rFonts w:ascii="Times New Roman" w:hAnsi="Times New Roman" w:cs="Times New Roman"/>
          <w:sz w:val="24"/>
          <w:szCs w:val="24"/>
        </w:rPr>
        <w:t xml:space="preserve">dotura, sipas përcaktimit në </w:t>
      </w:r>
      <w:r w:rsidRPr="00EC200C">
        <w:rPr>
          <w:rFonts w:ascii="Times New Roman" w:hAnsi="Times New Roman" w:cs="Times New Roman"/>
          <w:sz w:val="24"/>
          <w:szCs w:val="24"/>
        </w:rPr>
        <w:t xml:space="preserve">shkronjën “ç”;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ii.   impiantet e vogla të trajtimit të ujërave të ndotura, sipas përcaktimit në shkronjën “d”;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iii. impiante individuale ose lokale të trajtimit të ujërave të ndotura, sipas </w:t>
      </w:r>
      <w:r w:rsidR="00D5522C" w:rsidRPr="00EC200C">
        <w:rPr>
          <w:rFonts w:ascii="Times New Roman" w:hAnsi="Times New Roman" w:cs="Times New Roman"/>
          <w:sz w:val="24"/>
          <w:szCs w:val="24"/>
        </w:rPr>
        <w:t xml:space="preserve">përcaktimit në shkronjën “dh”.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ë) “Llumra të trajtuara” janë llumrat që i janë nënshtruar trajtimit biologjik, kimik ose trajtimit me nxehtësi, magazinimit afatgjatë ose ndonjë procesi tjetër të përshtatshëm, që redukton në mënyrë të konsiderueshme fermentimin e tyre dhe rreziqet për shëndetin, që vijnë si rezultat i përdorimit të tyre;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f)  “Përdorim” është përhapja e llumrave mbi tokë, ose çdo përdorim tjetër i llumrave mbi ose në tokë;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g) “Prodhues” është operatori i impiantit që prodhon dhe/ose vendos në treg  llumra të trajtuara për përdorim në bujqësi;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lastRenderedPageBreak/>
        <w:t xml:space="preserve">gj) “Përdorues” është personi fizik ose juridik që përdor llumrat e trajtuara, të cilat dalin nga të gjitha impiantet e trajtimit të ujërave të ndotura. </w:t>
      </w:r>
    </w:p>
    <w:p w:rsidR="005D45B9" w:rsidRPr="00EC200C" w:rsidRDefault="00D5522C"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h) </w:t>
      </w:r>
      <w:r w:rsidR="005D45B9" w:rsidRPr="00EC200C">
        <w:rPr>
          <w:rFonts w:ascii="Times New Roman" w:hAnsi="Times New Roman" w:cs="Times New Roman"/>
          <w:sz w:val="24"/>
          <w:szCs w:val="24"/>
        </w:rPr>
        <w:t>“Tokë bujqësore”, sipas përkufizimit në ligjin nr.</w:t>
      </w:r>
      <w:r w:rsidR="00C20322" w:rsidRPr="00EC200C">
        <w:rPr>
          <w:rFonts w:ascii="Times New Roman" w:hAnsi="Times New Roman" w:cs="Times New Roman"/>
          <w:sz w:val="24"/>
          <w:szCs w:val="24"/>
        </w:rPr>
        <w:t xml:space="preserve"> </w:t>
      </w:r>
      <w:r w:rsidR="005D45B9" w:rsidRPr="00EC200C">
        <w:rPr>
          <w:rFonts w:ascii="Times New Roman" w:hAnsi="Times New Roman" w:cs="Times New Roman"/>
          <w:sz w:val="24"/>
          <w:szCs w:val="24"/>
        </w:rPr>
        <w:t xml:space="preserve">9244, datë 17.6.2004, “Për mbrojtjen e tokës bujqësore”; </w:t>
      </w:r>
    </w:p>
    <w:p w:rsidR="005D45B9" w:rsidRPr="00EC200C" w:rsidRDefault="00D5522C"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i) </w:t>
      </w:r>
      <w:r w:rsidR="005D45B9" w:rsidRPr="00EC200C">
        <w:rPr>
          <w:rFonts w:ascii="Times New Roman" w:hAnsi="Times New Roman" w:cs="Times New Roman"/>
          <w:sz w:val="24"/>
          <w:szCs w:val="24"/>
        </w:rPr>
        <w:t xml:space="preserve">“Ujëra të ndotura” janë ujëra të përdorura ose ujërat që përmbajnë lëndë të ngurta, nga përdorimet familjare, tregtare dhe industriale, të cilat janë ndotur dhe/ose u janë ndryshuar vetitë (ujëra të përdorura ose mbetje të lëngshme), si dhe lëngjet kulluese nga landfill-et sanitare, apo llumrat nga gropat septike; </w:t>
      </w:r>
    </w:p>
    <w:p w:rsidR="005D45B9" w:rsidRPr="00EC200C" w:rsidRDefault="00D5522C"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j) </w:t>
      </w:r>
      <w:r w:rsidR="005D45B9" w:rsidRPr="00EC200C">
        <w:rPr>
          <w:rFonts w:ascii="Times New Roman" w:hAnsi="Times New Roman" w:cs="Times New Roman"/>
          <w:sz w:val="24"/>
          <w:szCs w:val="24"/>
        </w:rPr>
        <w:t xml:space="preserve">“Ujëra të ndotura urbane”, sipas përkufizimit në ligjin nr.111/2012, “Për menaxhimin e integruar të burimeve ujore”;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k) “Ujëra të ndotura industriale”, sipas përkufizimit në ligjin nr.111/2012, “Për menaxhimin e integruar të burimeve ujore”. </w:t>
      </w:r>
    </w:p>
    <w:p w:rsidR="005D45B9" w:rsidRPr="00EC200C" w:rsidRDefault="005D45B9" w:rsidP="00D5522C">
      <w:pPr>
        <w:spacing w:line="360" w:lineRule="auto"/>
        <w:jc w:val="center"/>
        <w:rPr>
          <w:rFonts w:ascii="Times New Roman" w:hAnsi="Times New Roman" w:cs="Times New Roman"/>
          <w:sz w:val="24"/>
          <w:szCs w:val="24"/>
        </w:rPr>
      </w:pPr>
      <w:r w:rsidRPr="00EC200C">
        <w:rPr>
          <w:rFonts w:ascii="Times New Roman" w:hAnsi="Times New Roman" w:cs="Times New Roman"/>
          <w:sz w:val="24"/>
          <w:szCs w:val="24"/>
        </w:rPr>
        <w:t>KREU II</w:t>
      </w:r>
    </w:p>
    <w:p w:rsidR="005D45B9" w:rsidRPr="00EC200C" w:rsidRDefault="005D45B9" w:rsidP="00D5522C">
      <w:pPr>
        <w:spacing w:line="360" w:lineRule="auto"/>
        <w:jc w:val="center"/>
        <w:rPr>
          <w:rFonts w:ascii="Times New Roman" w:hAnsi="Times New Roman" w:cs="Times New Roman"/>
          <w:sz w:val="24"/>
          <w:szCs w:val="24"/>
        </w:rPr>
      </w:pPr>
      <w:r w:rsidRPr="00EC200C">
        <w:rPr>
          <w:rFonts w:ascii="Times New Roman" w:hAnsi="Times New Roman" w:cs="Times New Roman"/>
          <w:sz w:val="24"/>
          <w:szCs w:val="24"/>
        </w:rPr>
        <w:t>LLUMRAT</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3.    Përveç sa parashikohet në ligjin nr.10463, datë 22.9.2011, “Për menaxhimin e integruar të mbetjeve”, të ndryshuar, llumrat mund të përdoren në bujqësi vetëm në qoftë se janë në përputhj</w:t>
      </w:r>
      <w:r w:rsidR="00D5522C" w:rsidRPr="00EC200C">
        <w:rPr>
          <w:rFonts w:ascii="Times New Roman" w:hAnsi="Times New Roman" w:cs="Times New Roman"/>
          <w:sz w:val="24"/>
          <w:szCs w:val="24"/>
        </w:rPr>
        <w:t xml:space="preserve">e me kërkesat e këtij vendimi.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4.    Vlerat kufi të përqëndrimit të metaleve të rënda në tokën ku janë përdorur llumrat, vlerat kufi të përqëndrimit të metaleve të rënda në llumra dhe vlerat kufi për sasinë e metaleve të rënda që mund të futen çdo vit në tokën e parashikuar për bujqësi përcaktohen në anekset IA, IB dhe IC, që i bashkëngjiten këtij vendimi dhe jan</w:t>
      </w:r>
      <w:r w:rsidR="00D5522C" w:rsidRPr="00EC200C">
        <w:rPr>
          <w:rFonts w:ascii="Times New Roman" w:hAnsi="Times New Roman" w:cs="Times New Roman"/>
          <w:sz w:val="24"/>
          <w:szCs w:val="24"/>
        </w:rPr>
        <w:t xml:space="preserve">ë pjesë përbërse e tij.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5.    Llumrat nuk duhet të përdoren në tokat ku përqëndrimi i një apo më shumë metaleve të rënda i kapërcen vlerat kufi, të përcaktuara në aneksin IA, ose kur përdorimi i llumrave mund të sjellë kap</w:t>
      </w:r>
      <w:r w:rsidR="00D5522C" w:rsidRPr="00EC200C">
        <w:rPr>
          <w:rFonts w:ascii="Times New Roman" w:hAnsi="Times New Roman" w:cs="Times New Roman"/>
          <w:sz w:val="24"/>
          <w:szCs w:val="24"/>
        </w:rPr>
        <w:t xml:space="preserve">ërcimin e këtyre vlerave kufi.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6.    Për qëllim</w:t>
      </w:r>
      <w:r w:rsidR="00D5522C" w:rsidRPr="00EC200C">
        <w:rPr>
          <w:rFonts w:ascii="Times New Roman" w:hAnsi="Times New Roman" w:cs="Times New Roman"/>
          <w:sz w:val="24"/>
          <w:szCs w:val="24"/>
        </w:rPr>
        <w:t>e të pikës 5, të këtij vendimi:</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lastRenderedPageBreak/>
        <w:t xml:space="preserve">a)    sasia maksimale e llumrave që mund të përdoret në tokë, e shprehur në ton, lëndë e thatë, për hektar, në vit, do të përcaktohet nga Qendra e Transferimit të Teknologjive Bujqësore (QTTB) pas konsultimeve të detyrueshme me Inspektoratin Shtetëror të Mbrojtjes së Tokës, rast pas rasti, duke patur parasysh pozicionin gjeografik dhe karakteristikat e tokës, bazuar në rezultatet e analizave të tokës për metalet e rënda, që do të kryhen sipas kërkesave të aneksit IIB, që i bashkëngjitet dhe është pjesë përbërëse e këtij vendimi;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b)    vlerat kufi, të përcaktuara për përqëndrimin e metaleve të rënda në llumra, duhet të jenë në përputhje me vlerat e aneksit IA, që i bashkëngjitet dhe është pjesë përbërëse e kë</w:t>
      </w:r>
      <w:r w:rsidR="00D5522C" w:rsidRPr="00EC200C">
        <w:rPr>
          <w:rFonts w:ascii="Times New Roman" w:hAnsi="Times New Roman" w:cs="Times New Roman"/>
          <w:sz w:val="24"/>
          <w:szCs w:val="24"/>
        </w:rPr>
        <w:t xml:space="preserve">tij vendimi.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7.    Përpara përdorimit </w:t>
      </w:r>
      <w:r w:rsidR="00D5522C" w:rsidRPr="00EC200C">
        <w:rPr>
          <w:rFonts w:ascii="Times New Roman" w:hAnsi="Times New Roman" w:cs="Times New Roman"/>
          <w:sz w:val="24"/>
          <w:szCs w:val="24"/>
        </w:rPr>
        <w:t xml:space="preserve">të llumrave në tokë bujqësore: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a)   llumrat analizohen, në përputhje me kërkesat e përcaktura në aneksin IIA;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b)   toka analizohet, në përputhje me kërkesat e përcaktuara në aneksin IIB;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c)  analizat e kërkuara për qëllime të shkronjave “a” dhe “b” kryhen nga  laboratorë të akredituar, duke përdorur metodat e analizave të përcaktuara në aneksin IIC, që i bashkëngjitet dhe është pjesë përbërëse e këtij vendimi.</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ç)  me përjashtim të rasteve kur llumrat përdoren në toka kullosore, mostrat duhet të merren në një thellësi prej 25 centimetrash ose, kur thellësia e sipërfaqes së tokës është më pak se kaq, të sigurohet që thellësia e sipërfaqjes së tokës, për marrjen e mostrës, të mos jetë më pak se 10 centimetra;</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d) kur llumrat përdoren në tokë kullosore, m</w:t>
      </w:r>
      <w:r w:rsidR="002902F8" w:rsidRPr="00EC200C">
        <w:rPr>
          <w:rFonts w:ascii="Times New Roman" w:hAnsi="Times New Roman" w:cs="Times New Roman"/>
          <w:sz w:val="24"/>
          <w:szCs w:val="24"/>
        </w:rPr>
        <w:t xml:space="preserve">ostrat duhet të merren në jo më </w:t>
      </w:r>
      <w:r w:rsidRPr="00EC200C">
        <w:rPr>
          <w:rFonts w:ascii="Times New Roman" w:hAnsi="Times New Roman" w:cs="Times New Roman"/>
          <w:sz w:val="24"/>
          <w:szCs w:val="24"/>
        </w:rPr>
        <w:t xml:space="preserve">shumë se 6 centimetra thellësi. </w:t>
      </w:r>
    </w:p>
    <w:p w:rsidR="005D45B9" w:rsidRPr="00EC200C" w:rsidRDefault="005D45B9" w:rsidP="00D5522C">
      <w:pPr>
        <w:spacing w:line="360" w:lineRule="auto"/>
        <w:jc w:val="center"/>
        <w:rPr>
          <w:rFonts w:ascii="Times New Roman" w:hAnsi="Times New Roman" w:cs="Times New Roman"/>
          <w:sz w:val="24"/>
          <w:szCs w:val="24"/>
        </w:rPr>
      </w:pPr>
      <w:r w:rsidRPr="00EC200C">
        <w:rPr>
          <w:rFonts w:ascii="Times New Roman" w:hAnsi="Times New Roman" w:cs="Times New Roman"/>
          <w:sz w:val="24"/>
          <w:szCs w:val="24"/>
        </w:rPr>
        <w:t>KREU III</w:t>
      </w:r>
    </w:p>
    <w:p w:rsidR="005D45B9" w:rsidRPr="00EC200C" w:rsidRDefault="00D5522C" w:rsidP="00D5522C">
      <w:pPr>
        <w:spacing w:line="360" w:lineRule="auto"/>
        <w:jc w:val="center"/>
        <w:rPr>
          <w:rFonts w:ascii="Times New Roman" w:hAnsi="Times New Roman" w:cs="Times New Roman"/>
          <w:sz w:val="24"/>
          <w:szCs w:val="24"/>
        </w:rPr>
      </w:pPr>
      <w:r w:rsidRPr="00EC200C">
        <w:rPr>
          <w:rFonts w:ascii="Times New Roman" w:hAnsi="Times New Roman" w:cs="Times New Roman"/>
          <w:sz w:val="24"/>
          <w:szCs w:val="24"/>
        </w:rPr>
        <w:t>DETYRIMET E PRODHUESIT</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8.   Prodhuesi i llumrav</w:t>
      </w:r>
      <w:r w:rsidR="00D5522C" w:rsidRPr="00EC200C">
        <w:rPr>
          <w:rFonts w:ascii="Times New Roman" w:hAnsi="Times New Roman" w:cs="Times New Roman"/>
          <w:sz w:val="24"/>
          <w:szCs w:val="24"/>
        </w:rPr>
        <w:t>e që përdoren në bujqësi duhet:</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a)  të pajiset me leje mjedisi, të tipit C, lëshuar në përputhje me aneksin 1, 6.4, të ligjit nr.10448, datë 14.7.2011, “Për lejet e mjedisit”, të ndryshuar;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lastRenderedPageBreak/>
        <w:t xml:space="preserve">b)   të trajtojë llumrat;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c)</w:t>
      </w:r>
      <w:r w:rsidR="00D5522C" w:rsidRPr="00EC200C">
        <w:rPr>
          <w:rFonts w:ascii="Times New Roman" w:hAnsi="Times New Roman" w:cs="Times New Roman"/>
          <w:sz w:val="24"/>
          <w:szCs w:val="24"/>
        </w:rPr>
        <w:t xml:space="preserve"> </w:t>
      </w:r>
      <w:r w:rsidRPr="00EC200C">
        <w:rPr>
          <w:rFonts w:ascii="Times New Roman" w:hAnsi="Times New Roman" w:cs="Times New Roman"/>
          <w:sz w:val="24"/>
          <w:szCs w:val="24"/>
        </w:rPr>
        <w:t xml:space="preserve"> t’u ofrojë rregullisht, përdoruesve, rezultatet e analizave të llumrave, të kryera periodikisht, në përputhje me aneksit IIA;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ç)  të mbajë regjistrin me të dhëna, i cili të përfshijë: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i. sasinë e llumrave të prodhuara dhe sasinë e shpërndarë për përdorim në bujqësi;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ii. përbërjen dhe vetitë e llumrave, në lidhje me parametrat e referuar  në  aneksit IIA;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iii. trajtimin, të cilit i janë nënshtruar llumrat, duke patur parasysh  trajtimin referuar në shkronjën “b”;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iv.  emrin dhe adresën e përdoruesit të llumrave dhe vendndodhje</w:t>
      </w:r>
      <w:r w:rsidR="00D5522C" w:rsidRPr="00EC200C">
        <w:rPr>
          <w:rFonts w:ascii="Times New Roman" w:hAnsi="Times New Roman" w:cs="Times New Roman"/>
          <w:sz w:val="24"/>
          <w:szCs w:val="24"/>
        </w:rPr>
        <w:t xml:space="preserve">n e tokës ku përdoren llumrat.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d)  të mbajë regjistrin me të dhëna në mjediset e tij të punës dhe ta bëjë atë të disponueshëm për informim, dhe pa pagesë, gjatë orarit zyrtar, për çdo person të interesuar;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dh) të raportojë, brenda datës 30 qershor, të çdo viti, pranë autoritetit kompet</w:t>
      </w:r>
      <w:r w:rsidR="00D5522C" w:rsidRPr="00EC200C">
        <w:rPr>
          <w:rFonts w:ascii="Times New Roman" w:hAnsi="Times New Roman" w:cs="Times New Roman"/>
          <w:sz w:val="24"/>
          <w:szCs w:val="24"/>
        </w:rPr>
        <w:t xml:space="preserve">ent, të dhënat e regjistruara.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9. Prodhuesi i llumrave të jetë i pajisur me lejen e mjedisit dhe  me licencën III/2B</w:t>
      </w:r>
      <w:r w:rsidR="00D5522C" w:rsidRPr="00EC200C">
        <w:rPr>
          <w:rFonts w:ascii="Times New Roman" w:hAnsi="Times New Roman" w:cs="Times New Roman"/>
          <w:sz w:val="24"/>
          <w:szCs w:val="24"/>
        </w:rPr>
        <w:t>, sipas legjislacionit në fuqi.</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10.  Prodhuesi, me kërkesë të autoriteteve kompetente, duhet të japë informacion mbi metodat e trajtim</w:t>
      </w:r>
      <w:r w:rsidR="00D5522C" w:rsidRPr="00EC200C">
        <w:rPr>
          <w:rFonts w:ascii="Times New Roman" w:hAnsi="Times New Roman" w:cs="Times New Roman"/>
          <w:sz w:val="24"/>
          <w:szCs w:val="24"/>
        </w:rPr>
        <w:t xml:space="preserve">it dhe rezultatet e analizave. </w:t>
      </w:r>
    </w:p>
    <w:p w:rsidR="005D45B9" w:rsidRPr="00EC200C" w:rsidRDefault="005D45B9" w:rsidP="00D5522C">
      <w:pPr>
        <w:spacing w:line="360" w:lineRule="auto"/>
        <w:jc w:val="center"/>
        <w:rPr>
          <w:rFonts w:ascii="Times New Roman" w:hAnsi="Times New Roman" w:cs="Times New Roman"/>
          <w:sz w:val="24"/>
          <w:szCs w:val="24"/>
        </w:rPr>
      </w:pPr>
      <w:r w:rsidRPr="00EC200C">
        <w:rPr>
          <w:rFonts w:ascii="Times New Roman" w:hAnsi="Times New Roman" w:cs="Times New Roman"/>
          <w:sz w:val="24"/>
          <w:szCs w:val="24"/>
        </w:rPr>
        <w:t>KREU IV</w:t>
      </w:r>
    </w:p>
    <w:p w:rsidR="005D45B9" w:rsidRPr="00EC200C" w:rsidRDefault="005D45B9" w:rsidP="00D5522C">
      <w:pPr>
        <w:spacing w:line="360" w:lineRule="auto"/>
        <w:jc w:val="center"/>
        <w:rPr>
          <w:rFonts w:ascii="Times New Roman" w:hAnsi="Times New Roman" w:cs="Times New Roman"/>
          <w:sz w:val="24"/>
          <w:szCs w:val="24"/>
        </w:rPr>
      </w:pPr>
      <w:r w:rsidRPr="00EC200C">
        <w:rPr>
          <w:rFonts w:ascii="Times New Roman" w:hAnsi="Times New Roman" w:cs="Times New Roman"/>
          <w:sz w:val="24"/>
          <w:szCs w:val="24"/>
        </w:rPr>
        <w:t>DE</w:t>
      </w:r>
      <w:r w:rsidR="00D5522C" w:rsidRPr="00EC200C">
        <w:rPr>
          <w:rFonts w:ascii="Times New Roman" w:hAnsi="Times New Roman" w:cs="Times New Roman"/>
          <w:sz w:val="24"/>
          <w:szCs w:val="24"/>
        </w:rPr>
        <w:t>TYRIMET E PËRDORUESIT</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11.     Përdoruesi i llu</w:t>
      </w:r>
      <w:r w:rsidR="00D5522C" w:rsidRPr="00EC200C">
        <w:rPr>
          <w:rFonts w:ascii="Times New Roman" w:hAnsi="Times New Roman" w:cs="Times New Roman"/>
          <w:sz w:val="24"/>
          <w:szCs w:val="24"/>
        </w:rPr>
        <w:t xml:space="preserve">mrave në bujqësi detyrohet të: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a)    analizojë tokën ku janë përdorur llumrat, në përputhje me </w:t>
      </w:r>
      <w:r w:rsidR="0056447F" w:rsidRPr="00EC200C">
        <w:rPr>
          <w:rFonts w:ascii="Times New Roman" w:hAnsi="Times New Roman" w:cs="Times New Roman"/>
          <w:sz w:val="24"/>
          <w:szCs w:val="24"/>
        </w:rPr>
        <w:t>A</w:t>
      </w:r>
      <w:r w:rsidRPr="00EC200C">
        <w:rPr>
          <w:rFonts w:ascii="Times New Roman" w:hAnsi="Times New Roman" w:cs="Times New Roman"/>
          <w:sz w:val="24"/>
          <w:szCs w:val="24"/>
        </w:rPr>
        <w:t xml:space="preserve">neksin IIB;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b)    marrë parasysh nevojat e bimëve për lëndë ushqyese;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c)    sigurojë që cilësia e tokës, e ujërave sipërfaqësore dhe nëntokësore të mos dëmtohet;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lastRenderedPageBreak/>
        <w:t xml:space="preserve">ç) marrë parasysh lëvizshmërinë dhe disponueshmërinë në rritje të metaleve të rënda në kulturat bujqësore, kur llumrat janë përdorur në një tokë me pH nën 6 dhe në përputhje me aneksin IA;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d) përdorë llumrat e ujërave të ndotura pasi të jetë pajisur me lejen e mjedisit dhe licencën III/2B, sipas legjislacionit në fuqi;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dh)  të mbajë rregjistrin me të dhëna, ku të përfshijë:</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i.    sasinë e llumrave të përdorur në bujqësi;</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ii.    sipërfaqen dhe vendndodhjen e tokës bujqësore ku janë përdorur llumrat;</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iii.    emrin dhe adresën e imp</w:t>
      </w:r>
      <w:r w:rsidR="00D5522C" w:rsidRPr="00EC200C">
        <w:rPr>
          <w:rFonts w:ascii="Times New Roman" w:hAnsi="Times New Roman" w:cs="Times New Roman"/>
          <w:sz w:val="24"/>
          <w:szCs w:val="24"/>
        </w:rPr>
        <w:t xml:space="preserve">iantit që ka prodhuar llumrat.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e) raportojë, brenda datës 30 qershor, të çdo viti, pranë autoritetit kompetent, të dhënat e regjistruara.</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12.    Përdoruesi i llumrave i njofton njësisë përkatëse të qeverisjes vendore vendndodhjen e t</w:t>
      </w:r>
      <w:r w:rsidR="00D5522C" w:rsidRPr="00EC200C">
        <w:rPr>
          <w:rFonts w:ascii="Times New Roman" w:hAnsi="Times New Roman" w:cs="Times New Roman"/>
          <w:sz w:val="24"/>
          <w:szCs w:val="24"/>
        </w:rPr>
        <w:t>okës ku do të përdoren llumrat.</w:t>
      </w:r>
    </w:p>
    <w:p w:rsidR="005D45B9" w:rsidRPr="00EC200C" w:rsidRDefault="005D45B9" w:rsidP="00D5522C">
      <w:pPr>
        <w:spacing w:line="360" w:lineRule="auto"/>
        <w:jc w:val="center"/>
        <w:rPr>
          <w:rFonts w:ascii="Times New Roman" w:hAnsi="Times New Roman" w:cs="Times New Roman"/>
          <w:sz w:val="24"/>
          <w:szCs w:val="24"/>
        </w:rPr>
      </w:pPr>
      <w:r w:rsidRPr="00EC200C">
        <w:rPr>
          <w:rFonts w:ascii="Times New Roman" w:hAnsi="Times New Roman" w:cs="Times New Roman"/>
          <w:sz w:val="24"/>
          <w:szCs w:val="24"/>
        </w:rPr>
        <w:t>KREU V</w:t>
      </w:r>
    </w:p>
    <w:p w:rsidR="005D45B9" w:rsidRPr="00EC200C" w:rsidRDefault="005D45B9" w:rsidP="00D5522C">
      <w:pPr>
        <w:spacing w:line="360" w:lineRule="auto"/>
        <w:jc w:val="center"/>
        <w:rPr>
          <w:rFonts w:ascii="Times New Roman" w:hAnsi="Times New Roman" w:cs="Times New Roman"/>
          <w:sz w:val="24"/>
          <w:szCs w:val="24"/>
        </w:rPr>
      </w:pPr>
      <w:r w:rsidRPr="00EC200C">
        <w:rPr>
          <w:rFonts w:ascii="Times New Roman" w:hAnsi="Times New Roman" w:cs="Times New Roman"/>
          <w:sz w:val="24"/>
          <w:szCs w:val="24"/>
        </w:rPr>
        <w:t>KËRKESAT PËR PËRDORIMIN DHE NDALIMIN E PËRDORIMIT TË L</w:t>
      </w:r>
      <w:r w:rsidR="00D5522C" w:rsidRPr="00EC200C">
        <w:rPr>
          <w:rFonts w:ascii="Times New Roman" w:hAnsi="Times New Roman" w:cs="Times New Roman"/>
          <w:sz w:val="24"/>
          <w:szCs w:val="24"/>
        </w:rPr>
        <w:t>LUMRAVE TË TRAJTUARA NË BUJQËSI</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13.    Llumrat duhet të trajtohen përpara përdorimit në bujqësi. Nuk lejohet përdor</w:t>
      </w:r>
      <w:r w:rsidR="00D5522C" w:rsidRPr="00EC200C">
        <w:rPr>
          <w:rFonts w:ascii="Times New Roman" w:hAnsi="Times New Roman" w:cs="Times New Roman"/>
          <w:sz w:val="24"/>
          <w:szCs w:val="24"/>
        </w:rPr>
        <w:t xml:space="preserve">imi i llumrave të patrajtuara.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14.    Përveç sa parashikohet në pikën 13, përdorimi i llumrave të trajtuara në bujq</w:t>
      </w:r>
      <w:r w:rsidR="00D5522C" w:rsidRPr="00EC200C">
        <w:rPr>
          <w:rFonts w:ascii="Times New Roman" w:hAnsi="Times New Roman" w:cs="Times New Roman"/>
          <w:sz w:val="24"/>
          <w:szCs w:val="24"/>
        </w:rPr>
        <w:t xml:space="preserve">ësi nuk lejohet në këto raste: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a)    kur mbetjet e llumrave vijnë nga impiantet individuale ose lokale të trajtimit të ujërave të ndotura, përveç se kur përdoren në toka kullosore, ku bagëtia nuk do të kullosë më parë se të kenë kaluar 6 muaj nga përdorimi i tyre;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b)    në toka kullosore apo ku rriten bimë foragjere, në qoftë se tokat që përdoren për kullotë apo bimët foragjere do të korren brenda tri javëve nga përdorimi i llumrave; </w:t>
      </w:r>
    </w:p>
    <w:p w:rsidR="005D45B9" w:rsidRPr="00EC200C" w:rsidRDefault="005D45B9" w:rsidP="00300B2D">
      <w:pPr>
        <w:spacing w:line="360" w:lineRule="auto"/>
        <w:jc w:val="both"/>
        <w:rPr>
          <w:rFonts w:ascii="Times New Roman" w:hAnsi="Times New Roman" w:cs="Times New Roman"/>
          <w:sz w:val="24"/>
          <w:szCs w:val="24"/>
        </w:rPr>
      </w:pPr>
    </w:p>
    <w:p w:rsidR="00D5522C" w:rsidRPr="00EC200C" w:rsidRDefault="00D5522C" w:rsidP="00300B2D">
      <w:pPr>
        <w:spacing w:line="360" w:lineRule="auto"/>
        <w:jc w:val="both"/>
        <w:rPr>
          <w:rFonts w:ascii="Times New Roman" w:hAnsi="Times New Roman" w:cs="Times New Roman"/>
          <w:sz w:val="24"/>
          <w:szCs w:val="24"/>
        </w:rPr>
      </w:pPr>
    </w:p>
    <w:p w:rsidR="005D45B9" w:rsidRPr="00EC200C" w:rsidRDefault="005D45B9" w:rsidP="00D5522C">
      <w:pPr>
        <w:spacing w:line="360" w:lineRule="auto"/>
        <w:jc w:val="center"/>
        <w:rPr>
          <w:rFonts w:ascii="Times New Roman" w:hAnsi="Times New Roman" w:cs="Times New Roman"/>
          <w:sz w:val="24"/>
          <w:szCs w:val="24"/>
        </w:rPr>
      </w:pPr>
      <w:r w:rsidRPr="00EC200C">
        <w:rPr>
          <w:rFonts w:ascii="Times New Roman" w:hAnsi="Times New Roman" w:cs="Times New Roman"/>
          <w:sz w:val="24"/>
          <w:szCs w:val="24"/>
        </w:rPr>
        <w:t>KREU VI</w:t>
      </w:r>
    </w:p>
    <w:p w:rsidR="005D45B9" w:rsidRPr="00EC200C" w:rsidRDefault="005D45B9" w:rsidP="00D5522C">
      <w:pPr>
        <w:spacing w:line="360" w:lineRule="auto"/>
        <w:jc w:val="center"/>
        <w:rPr>
          <w:rFonts w:ascii="Times New Roman" w:hAnsi="Times New Roman" w:cs="Times New Roman"/>
          <w:sz w:val="24"/>
          <w:szCs w:val="24"/>
        </w:rPr>
      </w:pPr>
      <w:r w:rsidRPr="00EC200C">
        <w:rPr>
          <w:rFonts w:ascii="Times New Roman" w:hAnsi="Times New Roman" w:cs="Times New Roman"/>
          <w:sz w:val="24"/>
          <w:szCs w:val="24"/>
        </w:rPr>
        <w:t>REGJISTRI KOMBËTAR PËR  PËRDORIMIN E LLUMRAVE NË BUJQËSI</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15.  Autoriteti kompetent (AKM/QTTB) krijon, mban dhe përditëson Regjistrin Kombëtar për Përdorimin e Llumrave në Bujqësi, ku përfshihen të dhënat përkatëse, të raportuara nga prodhuesit dhe përdoruesit. Autoriteti kompetent (AKM/QTTB) i siguron Drejtorisë së Përgjithshme të Ujësjellës Kanalizimeve të dhënat e raportuara nga prodhuesit dhe përdoruesit për përditësimin e çdo regjistri ekzistues pë</w:t>
      </w:r>
      <w:r w:rsidR="00D5522C" w:rsidRPr="00EC200C">
        <w:rPr>
          <w:rFonts w:ascii="Times New Roman" w:hAnsi="Times New Roman" w:cs="Times New Roman"/>
          <w:sz w:val="24"/>
          <w:szCs w:val="24"/>
        </w:rPr>
        <w:t xml:space="preserve">r ujërat dhe ujërat e ndotura.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16.  Autoriteti kompetent (AKM/ QTTB) mban regjistrin, referuar në pikën 15, në selinë e tij dhe e bën të disponueshëm, pa pagesë, për çdo person të interesuar, në përput</w:t>
      </w:r>
      <w:r w:rsidR="00D5522C" w:rsidRPr="00EC200C">
        <w:rPr>
          <w:rFonts w:ascii="Times New Roman" w:hAnsi="Times New Roman" w:cs="Times New Roman"/>
          <w:sz w:val="24"/>
          <w:szCs w:val="24"/>
        </w:rPr>
        <w:t xml:space="preserve">hje me legjislacionin në fuqi.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17.    Ministri përgjegjës për mjedisin dhe ministri përgjegjës për bujqësinë miratojnë, me urdhër të përbashkët, formatin e regjistrave, të referuar në pikat “8/d, “11/</w:t>
      </w:r>
      <w:r w:rsidR="00D5522C" w:rsidRPr="00EC200C">
        <w:rPr>
          <w:rFonts w:ascii="Times New Roman" w:hAnsi="Times New Roman" w:cs="Times New Roman"/>
          <w:sz w:val="24"/>
          <w:szCs w:val="24"/>
        </w:rPr>
        <w:t>f”  dhe “15”, të këtij vendimi.</w:t>
      </w:r>
    </w:p>
    <w:p w:rsidR="005D45B9" w:rsidRPr="00EC200C" w:rsidRDefault="005D45B9" w:rsidP="00D5522C">
      <w:pPr>
        <w:spacing w:line="360" w:lineRule="auto"/>
        <w:jc w:val="center"/>
        <w:rPr>
          <w:rFonts w:ascii="Times New Roman" w:hAnsi="Times New Roman" w:cs="Times New Roman"/>
          <w:sz w:val="24"/>
          <w:szCs w:val="24"/>
        </w:rPr>
      </w:pPr>
      <w:r w:rsidRPr="00EC200C">
        <w:rPr>
          <w:rFonts w:ascii="Times New Roman" w:hAnsi="Times New Roman" w:cs="Times New Roman"/>
          <w:sz w:val="24"/>
          <w:szCs w:val="24"/>
        </w:rPr>
        <w:t>KREU VII</w:t>
      </w:r>
    </w:p>
    <w:p w:rsidR="005D45B9" w:rsidRPr="00EC200C" w:rsidRDefault="005D45B9" w:rsidP="00D5522C">
      <w:pPr>
        <w:spacing w:line="360" w:lineRule="auto"/>
        <w:jc w:val="center"/>
        <w:rPr>
          <w:rFonts w:ascii="Times New Roman" w:hAnsi="Times New Roman" w:cs="Times New Roman"/>
          <w:sz w:val="24"/>
          <w:szCs w:val="24"/>
        </w:rPr>
      </w:pPr>
      <w:r w:rsidRPr="00EC200C">
        <w:rPr>
          <w:rFonts w:ascii="Times New Roman" w:hAnsi="Times New Roman" w:cs="Times New Roman"/>
          <w:sz w:val="24"/>
          <w:szCs w:val="24"/>
        </w:rPr>
        <w:t>RAPORTIMI PËR ZBATIMIN E VENDIMIT</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18.  Ministri përgjegjës për mjedisin dhe ministri përgjegjës për bujqësinë, me urdhër të përbashkët, miratojnë formatin që do të përdoret për përgatitjen e raportit dhe informaci</w:t>
      </w:r>
      <w:r w:rsidR="00D5522C" w:rsidRPr="00EC200C">
        <w:rPr>
          <w:rFonts w:ascii="Times New Roman" w:hAnsi="Times New Roman" w:cs="Times New Roman"/>
          <w:sz w:val="24"/>
          <w:szCs w:val="24"/>
        </w:rPr>
        <w:t xml:space="preserve">onin që do të përshihet në të.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19.  Ministritë përgjegjëse për mjedisin dhe bujqësinë përgatisin, bashkërisht, raportin mbi zbatimin e këtij vendimi, brenda muajit qershor 2017, dhe çdo tre vjet për periudhën </w:t>
      </w:r>
      <w:r w:rsidR="00D5522C" w:rsidRPr="00EC200C">
        <w:rPr>
          <w:rFonts w:ascii="Times New Roman" w:hAnsi="Times New Roman" w:cs="Times New Roman"/>
          <w:sz w:val="24"/>
          <w:szCs w:val="24"/>
        </w:rPr>
        <w:t xml:space="preserve">në vijim.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20.   Agjencia Kombëtare e Mjedisit, Agjencitë Rajonale të Mjedisit, Inspektorati Shtetëror i Mjedisit, Pyjeve dhe Ujërave, Inspektorati Shtetëror për Mbrojtjen e Tokës dhe Qendra e Transferimit të Teknologjive Bujqësore, si dhe institucionet e tjera përkatëse, u sigurojnë ministrive informacionin e duhur për përgatitjen e raportit të sipërpërmendur.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lastRenderedPageBreak/>
        <w:t>21.  Raporti, i referuar në pikën 19, publikohet në faqen zyrtare elektronike të ministrisë përgjegjëse për mjedisin dhe ministrisë përgjegjëse për bujqësinë dhe vihet në dispozicion të publikut.</w:t>
      </w:r>
    </w:p>
    <w:p w:rsidR="005D45B9" w:rsidRPr="00EC200C" w:rsidRDefault="005D45B9" w:rsidP="00D5522C">
      <w:pPr>
        <w:spacing w:line="360" w:lineRule="auto"/>
        <w:jc w:val="center"/>
        <w:rPr>
          <w:rFonts w:ascii="Times New Roman" w:hAnsi="Times New Roman" w:cs="Times New Roman"/>
          <w:sz w:val="24"/>
          <w:szCs w:val="24"/>
        </w:rPr>
      </w:pPr>
      <w:r w:rsidRPr="00EC200C">
        <w:rPr>
          <w:rFonts w:ascii="Times New Roman" w:hAnsi="Times New Roman" w:cs="Times New Roman"/>
          <w:sz w:val="24"/>
          <w:szCs w:val="24"/>
        </w:rPr>
        <w:t>KREU VIII</w:t>
      </w:r>
    </w:p>
    <w:p w:rsidR="005D45B9" w:rsidRPr="00EC200C" w:rsidRDefault="005D45B9" w:rsidP="00D5522C">
      <w:pPr>
        <w:spacing w:line="360" w:lineRule="auto"/>
        <w:jc w:val="center"/>
        <w:rPr>
          <w:rFonts w:ascii="Times New Roman" w:hAnsi="Times New Roman" w:cs="Times New Roman"/>
          <w:sz w:val="24"/>
          <w:szCs w:val="24"/>
        </w:rPr>
      </w:pPr>
      <w:r w:rsidRPr="00EC200C">
        <w:rPr>
          <w:rFonts w:ascii="Times New Roman" w:hAnsi="Times New Roman" w:cs="Times New Roman"/>
          <w:sz w:val="24"/>
          <w:szCs w:val="24"/>
        </w:rPr>
        <w:t>DISPOZITA KALIMTARE DHE PËRFUNDIMTARE</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22.    Impiantet e trajtimit të ujërave të ndotura, me kapacitet trajtimi nën 300 kg. BOD5 në ditë, që i korrespondojnë 5000 p.e., të cilët janë projektuar kryesisht për trajtimin e ujërave të ndotura shtëpiake, përjashtohen nga zbatimi i dispozitave të parashikuara në pikën 8, shkronja “a”, dhe pikën 9, të këtij vendimi.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23.    Mospërmbushja e detyrimeve të përcaktuara në këtë vendim, për  përdorimin e llumrave të ujërave të ndotura në bujqësi, ndëshkohet sipas pikës 32, të nenit 62, të ligjit nr.10463, datë 22.9.2011, “Për menaxhimin e integruar të mbetjeve”, të ndryshuar.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24.     Ndalohet përdorimi në bujqësi i llumrave të trajtuara për një periudhë  jo më pak se 2 vjet nga hyrja në fuqi e këtij vendimi. </w:t>
      </w:r>
    </w:p>
    <w:p w:rsidR="005D45B9" w:rsidRPr="00EC200C" w:rsidRDefault="005D45B9" w:rsidP="00300B2D">
      <w:pPr>
        <w:spacing w:line="360" w:lineRule="auto"/>
        <w:jc w:val="both"/>
        <w:rPr>
          <w:rFonts w:ascii="Times New Roman" w:hAnsi="Times New Roman" w:cs="Times New Roman"/>
          <w:sz w:val="24"/>
          <w:szCs w:val="24"/>
        </w:rPr>
      </w:pPr>
      <w:r w:rsidRPr="00EC200C">
        <w:rPr>
          <w:rFonts w:ascii="Times New Roman" w:hAnsi="Times New Roman" w:cs="Times New Roman"/>
          <w:sz w:val="24"/>
          <w:szCs w:val="24"/>
        </w:rPr>
        <w:t xml:space="preserve">25.    Ngarkohen Ministria e Mjedisit, Ministria e Bujqësisë, Zhvillimit Rural dhe Administrimit të Ujërave, Agjencia Kombëtare e Mjedisit, QTTB-ja, Inspektorati Shtetëror i Mjedisit dhe Inspektorati Shtetëror për Mbrojtjen e Tokës për zbatimin e këtij vendimi. </w:t>
      </w:r>
    </w:p>
    <w:p w:rsidR="00664DA8" w:rsidRPr="00EC200C" w:rsidRDefault="00664DA8" w:rsidP="00664DA8">
      <w:pPr>
        <w:spacing w:line="360" w:lineRule="auto"/>
        <w:rPr>
          <w:rFonts w:ascii="Times New Roman" w:hAnsi="Times New Roman" w:cs="Times New Roman"/>
          <w:sz w:val="24"/>
          <w:szCs w:val="24"/>
        </w:rPr>
      </w:pPr>
    </w:p>
    <w:p w:rsidR="005D45B9" w:rsidRPr="00EC200C" w:rsidRDefault="005D45B9" w:rsidP="00664DA8">
      <w:pPr>
        <w:spacing w:line="360" w:lineRule="auto"/>
        <w:rPr>
          <w:rFonts w:ascii="Times New Roman" w:hAnsi="Times New Roman" w:cs="Times New Roman"/>
          <w:sz w:val="24"/>
          <w:szCs w:val="24"/>
        </w:rPr>
      </w:pPr>
      <w:r w:rsidRPr="00EC200C">
        <w:rPr>
          <w:rFonts w:ascii="Times New Roman" w:hAnsi="Times New Roman" w:cs="Times New Roman"/>
          <w:sz w:val="24"/>
          <w:szCs w:val="24"/>
        </w:rPr>
        <w:t>Ky vendim hyn në fuqi pas botimit në “Fletoren zyrtare”.</w:t>
      </w:r>
    </w:p>
    <w:p w:rsidR="005D45B9" w:rsidRPr="00EC200C" w:rsidRDefault="005D45B9" w:rsidP="00D5522C">
      <w:pPr>
        <w:spacing w:line="360" w:lineRule="auto"/>
        <w:jc w:val="center"/>
        <w:rPr>
          <w:rFonts w:ascii="Times New Roman" w:hAnsi="Times New Roman" w:cs="Times New Roman"/>
          <w:sz w:val="24"/>
          <w:szCs w:val="24"/>
        </w:rPr>
      </w:pPr>
    </w:p>
    <w:p w:rsidR="005D45B9" w:rsidRPr="00EC200C" w:rsidRDefault="00D5522C" w:rsidP="00D5522C">
      <w:pPr>
        <w:spacing w:line="360" w:lineRule="auto"/>
        <w:jc w:val="center"/>
        <w:rPr>
          <w:rFonts w:ascii="Times New Roman" w:hAnsi="Times New Roman" w:cs="Times New Roman"/>
          <w:sz w:val="24"/>
          <w:szCs w:val="24"/>
        </w:rPr>
      </w:pPr>
      <w:r w:rsidRPr="00EC200C">
        <w:rPr>
          <w:rFonts w:ascii="Times New Roman" w:hAnsi="Times New Roman" w:cs="Times New Roman"/>
          <w:sz w:val="24"/>
          <w:szCs w:val="24"/>
        </w:rPr>
        <w:t>K R Y E M I N I S T R I</w:t>
      </w:r>
    </w:p>
    <w:p w:rsidR="002F6B2F" w:rsidRPr="00EC200C" w:rsidRDefault="005D45B9" w:rsidP="00D5522C">
      <w:pPr>
        <w:spacing w:line="360" w:lineRule="auto"/>
        <w:jc w:val="center"/>
        <w:rPr>
          <w:rFonts w:ascii="Times New Roman" w:hAnsi="Times New Roman" w:cs="Times New Roman"/>
          <w:sz w:val="24"/>
          <w:szCs w:val="24"/>
        </w:rPr>
      </w:pPr>
      <w:r w:rsidRPr="00EC200C">
        <w:rPr>
          <w:rFonts w:ascii="Times New Roman" w:hAnsi="Times New Roman" w:cs="Times New Roman"/>
          <w:sz w:val="24"/>
          <w:szCs w:val="24"/>
        </w:rPr>
        <w:t>EDI RAMA</w:t>
      </w:r>
    </w:p>
    <w:p w:rsidR="00274572" w:rsidRPr="00EC200C" w:rsidRDefault="00274572" w:rsidP="00682208">
      <w:pPr>
        <w:spacing w:line="360" w:lineRule="auto"/>
        <w:rPr>
          <w:rFonts w:ascii="Times New Roman" w:hAnsi="Times New Roman" w:cs="Times New Roman"/>
          <w:sz w:val="24"/>
          <w:szCs w:val="24"/>
        </w:rPr>
      </w:pPr>
    </w:p>
    <w:p w:rsidR="00682208" w:rsidRPr="00EC200C" w:rsidRDefault="00682208" w:rsidP="00682208">
      <w:pPr>
        <w:spacing w:line="360" w:lineRule="auto"/>
        <w:rPr>
          <w:rFonts w:ascii="Times New Roman" w:hAnsi="Times New Roman" w:cs="Times New Roman"/>
          <w:sz w:val="24"/>
          <w:szCs w:val="24"/>
        </w:rPr>
      </w:pPr>
    </w:p>
    <w:p w:rsidR="00274572" w:rsidRPr="00EC200C" w:rsidRDefault="00274572" w:rsidP="00274572">
      <w:pPr>
        <w:spacing w:before="240" w:after="0"/>
        <w:jc w:val="center"/>
        <w:rPr>
          <w:rFonts w:ascii="Times New Roman" w:eastAsia="Calibri" w:hAnsi="Times New Roman" w:cs="Times New Roman"/>
          <w:iCs/>
          <w:sz w:val="24"/>
          <w:szCs w:val="24"/>
          <w:lang w:val="it-IT"/>
        </w:rPr>
      </w:pPr>
      <w:r w:rsidRPr="00EC200C">
        <w:rPr>
          <w:rFonts w:ascii="Times New Roman" w:eastAsia="Calibri" w:hAnsi="Times New Roman" w:cs="Times New Roman"/>
          <w:sz w:val="24"/>
          <w:szCs w:val="24"/>
          <w:lang w:val="it-IT" w:eastAsia="en-GB"/>
        </w:rPr>
        <w:lastRenderedPageBreak/>
        <w:t>ANEKSI</w:t>
      </w:r>
      <w:r w:rsidRPr="00EC200C">
        <w:rPr>
          <w:rFonts w:ascii="Times New Roman" w:eastAsia="Calibri" w:hAnsi="Times New Roman" w:cs="Times New Roman"/>
          <w:iCs/>
          <w:sz w:val="24"/>
          <w:szCs w:val="24"/>
          <w:lang w:val="it-IT"/>
        </w:rPr>
        <w:t xml:space="preserve"> IA</w:t>
      </w:r>
    </w:p>
    <w:p w:rsidR="00274572" w:rsidRPr="00EC200C" w:rsidRDefault="00274572" w:rsidP="00274572">
      <w:pPr>
        <w:spacing w:before="240" w:after="0"/>
        <w:jc w:val="center"/>
        <w:rPr>
          <w:rFonts w:ascii="Times New Roman" w:eastAsia="Calibri" w:hAnsi="Times New Roman" w:cs="Times New Roman"/>
          <w:iCs/>
          <w:sz w:val="24"/>
          <w:szCs w:val="24"/>
          <w:lang w:val="it-IT"/>
        </w:rPr>
      </w:pPr>
    </w:p>
    <w:p w:rsidR="00274572" w:rsidRPr="00EC200C" w:rsidRDefault="00274572" w:rsidP="00274572">
      <w:pPr>
        <w:autoSpaceDE w:val="0"/>
        <w:autoSpaceDN w:val="0"/>
        <w:adjustRightInd w:val="0"/>
        <w:spacing w:after="0"/>
        <w:jc w:val="center"/>
        <w:rPr>
          <w:rFonts w:ascii="Times New Roman" w:eastAsia="Calibri" w:hAnsi="Times New Roman" w:cs="Times New Roman"/>
          <w:bCs/>
          <w:sz w:val="24"/>
          <w:szCs w:val="24"/>
          <w:lang w:val="it-IT"/>
        </w:rPr>
      </w:pPr>
      <w:r w:rsidRPr="00EC200C">
        <w:rPr>
          <w:rFonts w:ascii="Times New Roman" w:eastAsia="Calibri" w:hAnsi="Times New Roman" w:cs="Times New Roman"/>
          <w:bCs/>
          <w:sz w:val="24"/>
          <w:szCs w:val="24"/>
          <w:lang w:val="it-IT"/>
        </w:rPr>
        <w:t>VLERAT KUFI PER PERQENDRIMIN E METALEVE TE RËNDA NË TOKË</w:t>
      </w:r>
    </w:p>
    <w:p w:rsidR="00274572" w:rsidRPr="00EC200C" w:rsidDel="00520D8D" w:rsidRDefault="00274572" w:rsidP="00274572">
      <w:pPr>
        <w:autoSpaceDE w:val="0"/>
        <w:autoSpaceDN w:val="0"/>
        <w:adjustRightInd w:val="0"/>
        <w:spacing w:after="0"/>
        <w:jc w:val="center"/>
        <w:rPr>
          <w:rFonts w:ascii="Times New Roman" w:eastAsia="Calibri" w:hAnsi="Times New Roman" w:cs="Times New Roman"/>
          <w:bCs/>
          <w:sz w:val="24"/>
          <w:szCs w:val="24"/>
          <w:lang w:val="it-IT"/>
        </w:rPr>
      </w:pPr>
      <w:r w:rsidRPr="00EC200C">
        <w:rPr>
          <w:rFonts w:ascii="Times New Roman" w:eastAsia="Calibri" w:hAnsi="Times New Roman" w:cs="Times New Roman"/>
          <w:bCs/>
          <w:sz w:val="24"/>
          <w:szCs w:val="24"/>
          <w:lang w:val="it-IT"/>
        </w:rPr>
        <w:t>(në mg/kg lëndë e thatë në një mostër përfaqësuese të tokave me pH nga 6 deri ne 7 siç është përcaktuar në Aneksin IIC)</w:t>
      </w:r>
    </w:p>
    <w:p w:rsidR="00274572" w:rsidRPr="00EC200C" w:rsidRDefault="00274572" w:rsidP="00274572">
      <w:pPr>
        <w:autoSpaceDE w:val="0"/>
        <w:autoSpaceDN w:val="0"/>
        <w:adjustRightInd w:val="0"/>
        <w:spacing w:after="0"/>
        <w:jc w:val="both"/>
        <w:rPr>
          <w:rFonts w:ascii="Times New Roman" w:eastAsia="Calibri" w:hAnsi="Times New Roman" w:cs="Times New Roman"/>
          <w:bCs/>
          <w:sz w:val="24"/>
          <w:szCs w:val="24"/>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274572" w:rsidRPr="00EC200C" w:rsidTr="009429A6">
        <w:tc>
          <w:tcPr>
            <w:tcW w:w="4788" w:type="dxa"/>
            <w:tcBorders>
              <w:left w:val="nil"/>
            </w:tcBorders>
          </w:tcPr>
          <w:p w:rsidR="00274572" w:rsidRPr="00EC200C" w:rsidRDefault="00274572" w:rsidP="00274572">
            <w:pPr>
              <w:autoSpaceDE w:val="0"/>
              <w:autoSpaceDN w:val="0"/>
              <w:adjustRightInd w:val="0"/>
              <w:spacing w:after="0"/>
              <w:jc w:val="both"/>
              <w:rPr>
                <w:rFonts w:ascii="Times New Roman" w:eastAsia="Calibri" w:hAnsi="Times New Roman" w:cs="Times New Roman"/>
                <w:sz w:val="24"/>
                <w:szCs w:val="24"/>
              </w:rPr>
            </w:pPr>
            <w:r w:rsidRPr="00EC200C">
              <w:rPr>
                <w:rFonts w:ascii="Times New Roman" w:eastAsia="Calibri" w:hAnsi="Times New Roman" w:cs="Times New Roman"/>
                <w:sz w:val="24"/>
                <w:szCs w:val="24"/>
              </w:rPr>
              <w:t>Parametrat</w:t>
            </w:r>
          </w:p>
        </w:tc>
        <w:tc>
          <w:tcPr>
            <w:tcW w:w="4788" w:type="dxa"/>
            <w:tcBorders>
              <w:right w:val="nil"/>
            </w:tcBorders>
          </w:tcPr>
          <w:p w:rsidR="00274572" w:rsidRPr="00EC200C" w:rsidRDefault="00274572" w:rsidP="00274572">
            <w:pPr>
              <w:autoSpaceDE w:val="0"/>
              <w:autoSpaceDN w:val="0"/>
              <w:adjustRightInd w:val="0"/>
              <w:spacing w:after="0"/>
              <w:jc w:val="center"/>
              <w:rPr>
                <w:rFonts w:ascii="Times New Roman" w:eastAsia="Calibri" w:hAnsi="Times New Roman" w:cs="Times New Roman"/>
                <w:sz w:val="24"/>
                <w:szCs w:val="24"/>
              </w:rPr>
            </w:pPr>
            <w:r w:rsidRPr="00EC200C">
              <w:rPr>
                <w:rFonts w:ascii="Times New Roman" w:eastAsia="Calibri" w:hAnsi="Times New Roman" w:cs="Times New Roman"/>
                <w:sz w:val="24"/>
                <w:szCs w:val="24"/>
              </w:rPr>
              <w:t>Vlerat kufi</w:t>
            </w:r>
          </w:p>
        </w:tc>
      </w:tr>
      <w:tr w:rsidR="00274572" w:rsidRPr="00EC200C" w:rsidTr="009429A6">
        <w:tc>
          <w:tcPr>
            <w:tcW w:w="4788" w:type="dxa"/>
            <w:tcBorders>
              <w:left w:val="nil"/>
            </w:tcBorders>
          </w:tcPr>
          <w:p w:rsidR="00274572" w:rsidRPr="00EC200C" w:rsidRDefault="00274572" w:rsidP="00274572">
            <w:pPr>
              <w:autoSpaceDE w:val="0"/>
              <w:autoSpaceDN w:val="0"/>
              <w:adjustRightInd w:val="0"/>
              <w:spacing w:after="0"/>
              <w:jc w:val="both"/>
              <w:rPr>
                <w:rFonts w:ascii="Times New Roman" w:eastAsia="Calibri" w:hAnsi="Times New Roman" w:cs="Times New Roman"/>
                <w:sz w:val="24"/>
                <w:szCs w:val="24"/>
              </w:rPr>
            </w:pPr>
            <w:r w:rsidRPr="00EC200C">
              <w:rPr>
                <w:rFonts w:ascii="Times New Roman" w:eastAsia="Calibri" w:hAnsi="Times New Roman" w:cs="Times New Roman"/>
                <w:sz w:val="24"/>
                <w:szCs w:val="24"/>
              </w:rPr>
              <w:t>Kadmium</w:t>
            </w:r>
          </w:p>
        </w:tc>
        <w:tc>
          <w:tcPr>
            <w:tcW w:w="4788" w:type="dxa"/>
            <w:tcBorders>
              <w:right w:val="nil"/>
            </w:tcBorders>
          </w:tcPr>
          <w:p w:rsidR="00274572" w:rsidRPr="00EC200C" w:rsidRDefault="00274572" w:rsidP="00274572">
            <w:pPr>
              <w:autoSpaceDE w:val="0"/>
              <w:autoSpaceDN w:val="0"/>
              <w:adjustRightInd w:val="0"/>
              <w:spacing w:after="0"/>
              <w:jc w:val="center"/>
              <w:rPr>
                <w:rFonts w:ascii="Times New Roman" w:eastAsia="Calibri" w:hAnsi="Times New Roman" w:cs="Times New Roman"/>
                <w:sz w:val="24"/>
                <w:szCs w:val="24"/>
              </w:rPr>
            </w:pPr>
            <w:r w:rsidRPr="00EC200C">
              <w:rPr>
                <w:rFonts w:ascii="Times New Roman" w:eastAsia="Calibri" w:hAnsi="Times New Roman" w:cs="Times New Roman"/>
                <w:sz w:val="24"/>
                <w:szCs w:val="24"/>
              </w:rPr>
              <w:t>3</w:t>
            </w:r>
          </w:p>
        </w:tc>
      </w:tr>
      <w:tr w:rsidR="00274572" w:rsidRPr="00EC200C" w:rsidTr="009429A6">
        <w:tc>
          <w:tcPr>
            <w:tcW w:w="4788" w:type="dxa"/>
            <w:tcBorders>
              <w:left w:val="nil"/>
            </w:tcBorders>
          </w:tcPr>
          <w:p w:rsidR="00274572" w:rsidRPr="00EC200C" w:rsidRDefault="00274572" w:rsidP="00274572">
            <w:pPr>
              <w:autoSpaceDE w:val="0"/>
              <w:autoSpaceDN w:val="0"/>
              <w:adjustRightInd w:val="0"/>
              <w:spacing w:after="0"/>
              <w:jc w:val="both"/>
              <w:rPr>
                <w:rFonts w:ascii="Times New Roman" w:eastAsia="Calibri" w:hAnsi="Times New Roman" w:cs="Times New Roman"/>
                <w:sz w:val="24"/>
                <w:szCs w:val="24"/>
              </w:rPr>
            </w:pPr>
            <w:r w:rsidRPr="00EC200C">
              <w:rPr>
                <w:rFonts w:ascii="Times New Roman" w:eastAsia="Calibri" w:hAnsi="Times New Roman" w:cs="Times New Roman"/>
                <w:sz w:val="24"/>
                <w:szCs w:val="24"/>
              </w:rPr>
              <w:t>Bakër</w:t>
            </w:r>
          </w:p>
        </w:tc>
        <w:tc>
          <w:tcPr>
            <w:tcW w:w="4788" w:type="dxa"/>
            <w:tcBorders>
              <w:right w:val="nil"/>
            </w:tcBorders>
          </w:tcPr>
          <w:p w:rsidR="00274572" w:rsidRPr="00EC200C" w:rsidRDefault="00274572" w:rsidP="00274572">
            <w:pPr>
              <w:autoSpaceDE w:val="0"/>
              <w:autoSpaceDN w:val="0"/>
              <w:adjustRightInd w:val="0"/>
              <w:spacing w:after="0"/>
              <w:jc w:val="center"/>
              <w:rPr>
                <w:rFonts w:ascii="Times New Roman" w:eastAsia="Calibri" w:hAnsi="Times New Roman" w:cs="Times New Roman"/>
                <w:sz w:val="24"/>
                <w:szCs w:val="24"/>
              </w:rPr>
            </w:pPr>
            <w:r w:rsidRPr="00EC200C">
              <w:rPr>
                <w:rFonts w:ascii="Times New Roman" w:eastAsia="Calibri" w:hAnsi="Times New Roman" w:cs="Times New Roman"/>
                <w:sz w:val="24"/>
                <w:szCs w:val="24"/>
              </w:rPr>
              <w:t>100</w:t>
            </w:r>
          </w:p>
        </w:tc>
      </w:tr>
      <w:tr w:rsidR="00274572" w:rsidRPr="00EC200C" w:rsidTr="009429A6">
        <w:tc>
          <w:tcPr>
            <w:tcW w:w="4788" w:type="dxa"/>
            <w:tcBorders>
              <w:left w:val="nil"/>
            </w:tcBorders>
          </w:tcPr>
          <w:p w:rsidR="00274572" w:rsidRPr="00EC200C" w:rsidRDefault="00274572" w:rsidP="00274572">
            <w:pPr>
              <w:autoSpaceDE w:val="0"/>
              <w:autoSpaceDN w:val="0"/>
              <w:adjustRightInd w:val="0"/>
              <w:spacing w:after="0"/>
              <w:jc w:val="both"/>
              <w:rPr>
                <w:rFonts w:ascii="Times New Roman" w:eastAsia="Calibri" w:hAnsi="Times New Roman" w:cs="Times New Roman"/>
                <w:sz w:val="24"/>
                <w:szCs w:val="24"/>
              </w:rPr>
            </w:pPr>
            <w:r w:rsidRPr="00EC200C">
              <w:rPr>
                <w:rFonts w:ascii="Times New Roman" w:eastAsia="Calibri" w:hAnsi="Times New Roman" w:cs="Times New Roman"/>
                <w:sz w:val="24"/>
                <w:szCs w:val="24"/>
              </w:rPr>
              <w:t>Nikel</w:t>
            </w:r>
          </w:p>
        </w:tc>
        <w:tc>
          <w:tcPr>
            <w:tcW w:w="4788" w:type="dxa"/>
            <w:tcBorders>
              <w:right w:val="nil"/>
            </w:tcBorders>
          </w:tcPr>
          <w:p w:rsidR="00274572" w:rsidRPr="00EC200C" w:rsidRDefault="00274572" w:rsidP="00274572">
            <w:pPr>
              <w:autoSpaceDE w:val="0"/>
              <w:autoSpaceDN w:val="0"/>
              <w:adjustRightInd w:val="0"/>
              <w:spacing w:after="0"/>
              <w:jc w:val="center"/>
              <w:rPr>
                <w:rFonts w:ascii="Times New Roman" w:eastAsia="Calibri" w:hAnsi="Times New Roman" w:cs="Times New Roman"/>
                <w:sz w:val="24"/>
                <w:szCs w:val="24"/>
              </w:rPr>
            </w:pPr>
            <w:r w:rsidRPr="00EC200C">
              <w:rPr>
                <w:rFonts w:ascii="Times New Roman" w:eastAsia="Calibri" w:hAnsi="Times New Roman" w:cs="Times New Roman"/>
                <w:sz w:val="24"/>
                <w:szCs w:val="24"/>
              </w:rPr>
              <w:t>75</w:t>
            </w:r>
          </w:p>
        </w:tc>
      </w:tr>
      <w:tr w:rsidR="00274572" w:rsidRPr="00EC200C" w:rsidTr="009429A6">
        <w:tc>
          <w:tcPr>
            <w:tcW w:w="4788" w:type="dxa"/>
            <w:tcBorders>
              <w:left w:val="nil"/>
            </w:tcBorders>
          </w:tcPr>
          <w:p w:rsidR="00274572" w:rsidRPr="00EC200C" w:rsidRDefault="00274572" w:rsidP="00274572">
            <w:pPr>
              <w:autoSpaceDE w:val="0"/>
              <w:autoSpaceDN w:val="0"/>
              <w:adjustRightInd w:val="0"/>
              <w:spacing w:after="0"/>
              <w:jc w:val="both"/>
              <w:rPr>
                <w:rFonts w:ascii="Times New Roman" w:eastAsia="Calibri" w:hAnsi="Times New Roman" w:cs="Times New Roman"/>
                <w:sz w:val="24"/>
                <w:szCs w:val="24"/>
              </w:rPr>
            </w:pPr>
            <w:r w:rsidRPr="00EC200C">
              <w:rPr>
                <w:rFonts w:ascii="Times New Roman" w:eastAsia="Calibri" w:hAnsi="Times New Roman" w:cs="Times New Roman"/>
                <w:sz w:val="24"/>
                <w:szCs w:val="24"/>
              </w:rPr>
              <w:t>Plumb</w:t>
            </w:r>
          </w:p>
        </w:tc>
        <w:tc>
          <w:tcPr>
            <w:tcW w:w="4788" w:type="dxa"/>
            <w:tcBorders>
              <w:right w:val="nil"/>
            </w:tcBorders>
          </w:tcPr>
          <w:p w:rsidR="00274572" w:rsidRPr="00EC200C" w:rsidRDefault="00274572" w:rsidP="00274572">
            <w:pPr>
              <w:autoSpaceDE w:val="0"/>
              <w:autoSpaceDN w:val="0"/>
              <w:adjustRightInd w:val="0"/>
              <w:spacing w:after="0"/>
              <w:jc w:val="center"/>
              <w:rPr>
                <w:rFonts w:ascii="Times New Roman" w:eastAsia="Calibri" w:hAnsi="Times New Roman" w:cs="Times New Roman"/>
                <w:sz w:val="24"/>
                <w:szCs w:val="24"/>
              </w:rPr>
            </w:pPr>
            <w:r w:rsidRPr="00EC200C">
              <w:rPr>
                <w:rFonts w:ascii="Times New Roman" w:eastAsia="Calibri" w:hAnsi="Times New Roman" w:cs="Times New Roman"/>
                <w:sz w:val="24"/>
                <w:szCs w:val="24"/>
              </w:rPr>
              <w:t>200</w:t>
            </w:r>
          </w:p>
        </w:tc>
      </w:tr>
      <w:tr w:rsidR="00274572" w:rsidRPr="00EC200C" w:rsidTr="009429A6">
        <w:tc>
          <w:tcPr>
            <w:tcW w:w="4788" w:type="dxa"/>
            <w:tcBorders>
              <w:left w:val="nil"/>
            </w:tcBorders>
          </w:tcPr>
          <w:p w:rsidR="00274572" w:rsidRPr="00EC200C" w:rsidRDefault="00274572" w:rsidP="00274572">
            <w:pPr>
              <w:autoSpaceDE w:val="0"/>
              <w:autoSpaceDN w:val="0"/>
              <w:adjustRightInd w:val="0"/>
              <w:spacing w:after="0"/>
              <w:jc w:val="both"/>
              <w:rPr>
                <w:rFonts w:ascii="Times New Roman" w:eastAsia="Calibri" w:hAnsi="Times New Roman" w:cs="Times New Roman"/>
                <w:sz w:val="24"/>
                <w:szCs w:val="24"/>
              </w:rPr>
            </w:pPr>
            <w:r w:rsidRPr="00EC200C">
              <w:rPr>
                <w:rFonts w:ascii="Times New Roman" w:eastAsia="Calibri" w:hAnsi="Times New Roman" w:cs="Times New Roman"/>
                <w:sz w:val="24"/>
                <w:szCs w:val="24"/>
              </w:rPr>
              <w:t>Zink</w:t>
            </w:r>
          </w:p>
        </w:tc>
        <w:tc>
          <w:tcPr>
            <w:tcW w:w="4788" w:type="dxa"/>
            <w:tcBorders>
              <w:right w:val="nil"/>
            </w:tcBorders>
          </w:tcPr>
          <w:p w:rsidR="00274572" w:rsidRPr="00EC200C" w:rsidRDefault="00274572" w:rsidP="00274572">
            <w:pPr>
              <w:autoSpaceDE w:val="0"/>
              <w:autoSpaceDN w:val="0"/>
              <w:adjustRightInd w:val="0"/>
              <w:spacing w:after="0"/>
              <w:jc w:val="center"/>
              <w:rPr>
                <w:rFonts w:ascii="Times New Roman" w:eastAsia="Calibri" w:hAnsi="Times New Roman" w:cs="Times New Roman"/>
                <w:sz w:val="24"/>
                <w:szCs w:val="24"/>
              </w:rPr>
            </w:pPr>
            <w:r w:rsidRPr="00EC200C">
              <w:rPr>
                <w:rFonts w:ascii="Times New Roman" w:eastAsia="Calibri" w:hAnsi="Times New Roman" w:cs="Times New Roman"/>
                <w:sz w:val="24"/>
                <w:szCs w:val="24"/>
              </w:rPr>
              <w:t>300</w:t>
            </w:r>
          </w:p>
        </w:tc>
      </w:tr>
      <w:tr w:rsidR="00274572" w:rsidRPr="00EC200C" w:rsidTr="009429A6">
        <w:tc>
          <w:tcPr>
            <w:tcW w:w="4788" w:type="dxa"/>
            <w:tcBorders>
              <w:left w:val="nil"/>
            </w:tcBorders>
          </w:tcPr>
          <w:p w:rsidR="00274572" w:rsidRPr="00EC200C" w:rsidRDefault="00274572" w:rsidP="00274572">
            <w:pPr>
              <w:autoSpaceDE w:val="0"/>
              <w:autoSpaceDN w:val="0"/>
              <w:adjustRightInd w:val="0"/>
              <w:spacing w:after="0"/>
              <w:jc w:val="both"/>
              <w:rPr>
                <w:rFonts w:ascii="Times New Roman" w:eastAsia="Calibri" w:hAnsi="Times New Roman" w:cs="Times New Roman"/>
                <w:sz w:val="24"/>
                <w:szCs w:val="24"/>
              </w:rPr>
            </w:pPr>
            <w:r w:rsidRPr="00EC200C">
              <w:rPr>
                <w:rFonts w:ascii="Times New Roman" w:eastAsia="Calibri" w:hAnsi="Times New Roman" w:cs="Times New Roman"/>
                <w:sz w:val="24"/>
                <w:szCs w:val="24"/>
              </w:rPr>
              <w:t>Merkur</w:t>
            </w:r>
          </w:p>
        </w:tc>
        <w:tc>
          <w:tcPr>
            <w:tcW w:w="4788" w:type="dxa"/>
            <w:tcBorders>
              <w:right w:val="nil"/>
            </w:tcBorders>
          </w:tcPr>
          <w:p w:rsidR="00274572" w:rsidRPr="00EC200C" w:rsidRDefault="00274572" w:rsidP="00274572">
            <w:pPr>
              <w:autoSpaceDE w:val="0"/>
              <w:autoSpaceDN w:val="0"/>
              <w:adjustRightInd w:val="0"/>
              <w:spacing w:after="0"/>
              <w:jc w:val="center"/>
              <w:rPr>
                <w:rFonts w:ascii="Times New Roman" w:eastAsia="Calibri" w:hAnsi="Times New Roman" w:cs="Times New Roman"/>
                <w:sz w:val="24"/>
                <w:szCs w:val="24"/>
              </w:rPr>
            </w:pPr>
            <w:r w:rsidRPr="00EC200C">
              <w:rPr>
                <w:rFonts w:ascii="Times New Roman" w:eastAsia="Calibri" w:hAnsi="Times New Roman" w:cs="Times New Roman"/>
                <w:sz w:val="24"/>
                <w:szCs w:val="24"/>
              </w:rPr>
              <w:t>1,5</w:t>
            </w:r>
          </w:p>
        </w:tc>
      </w:tr>
      <w:tr w:rsidR="00274572" w:rsidRPr="00EC200C" w:rsidTr="009429A6">
        <w:tc>
          <w:tcPr>
            <w:tcW w:w="4788" w:type="dxa"/>
            <w:tcBorders>
              <w:left w:val="nil"/>
            </w:tcBorders>
          </w:tcPr>
          <w:p w:rsidR="00274572" w:rsidRPr="00EC200C" w:rsidRDefault="00274572" w:rsidP="00274572">
            <w:pPr>
              <w:autoSpaceDE w:val="0"/>
              <w:autoSpaceDN w:val="0"/>
              <w:adjustRightInd w:val="0"/>
              <w:spacing w:after="0"/>
              <w:jc w:val="both"/>
              <w:rPr>
                <w:rFonts w:ascii="Times New Roman" w:eastAsia="Calibri" w:hAnsi="Times New Roman" w:cs="Times New Roman"/>
                <w:sz w:val="24"/>
                <w:szCs w:val="24"/>
              </w:rPr>
            </w:pPr>
            <w:r w:rsidRPr="00EC200C">
              <w:rPr>
                <w:rFonts w:ascii="Times New Roman" w:eastAsia="Calibri" w:hAnsi="Times New Roman" w:cs="Times New Roman"/>
                <w:sz w:val="24"/>
                <w:szCs w:val="24"/>
              </w:rPr>
              <w:t>Krom</w:t>
            </w:r>
          </w:p>
        </w:tc>
        <w:tc>
          <w:tcPr>
            <w:tcW w:w="4788" w:type="dxa"/>
            <w:tcBorders>
              <w:right w:val="nil"/>
            </w:tcBorders>
          </w:tcPr>
          <w:p w:rsidR="00274572" w:rsidRPr="00EC200C" w:rsidRDefault="00274572" w:rsidP="00274572">
            <w:pPr>
              <w:autoSpaceDE w:val="0"/>
              <w:autoSpaceDN w:val="0"/>
              <w:adjustRightInd w:val="0"/>
              <w:spacing w:after="0"/>
              <w:jc w:val="center"/>
              <w:rPr>
                <w:rFonts w:ascii="Times New Roman" w:eastAsia="Calibri" w:hAnsi="Times New Roman" w:cs="Times New Roman"/>
                <w:sz w:val="24"/>
                <w:szCs w:val="24"/>
              </w:rPr>
            </w:pPr>
          </w:p>
        </w:tc>
      </w:tr>
    </w:tbl>
    <w:p w:rsidR="00274572" w:rsidRPr="00EC200C" w:rsidRDefault="00274572" w:rsidP="00274572">
      <w:pPr>
        <w:spacing w:before="240" w:after="0"/>
        <w:jc w:val="both"/>
        <w:rPr>
          <w:rFonts w:ascii="Times New Roman" w:eastAsia="Calibri" w:hAnsi="Times New Roman" w:cs="Times New Roman"/>
          <w:i/>
          <w:iCs/>
          <w:sz w:val="24"/>
          <w:szCs w:val="24"/>
        </w:rPr>
      </w:pPr>
    </w:p>
    <w:p w:rsidR="00274572" w:rsidRPr="00EC200C" w:rsidRDefault="00274572" w:rsidP="00274572">
      <w:pPr>
        <w:autoSpaceDE w:val="0"/>
        <w:autoSpaceDN w:val="0"/>
        <w:adjustRightInd w:val="0"/>
        <w:spacing w:after="0"/>
        <w:jc w:val="both"/>
        <w:rPr>
          <w:rFonts w:ascii="Times New Roman" w:eastAsia="Calibri" w:hAnsi="Times New Roman" w:cs="Times New Roman"/>
          <w:sz w:val="24"/>
          <w:szCs w:val="24"/>
          <w:lang w:val="en-GB" w:eastAsia="en-GB"/>
        </w:rPr>
      </w:pPr>
    </w:p>
    <w:p w:rsidR="00274572" w:rsidRPr="00EC200C" w:rsidRDefault="00274572" w:rsidP="00274572">
      <w:pPr>
        <w:autoSpaceDE w:val="0"/>
        <w:autoSpaceDN w:val="0"/>
        <w:adjustRightInd w:val="0"/>
        <w:spacing w:after="0"/>
        <w:jc w:val="center"/>
        <w:rPr>
          <w:rFonts w:ascii="Times New Roman" w:eastAsia="Calibri" w:hAnsi="Times New Roman" w:cs="Times New Roman"/>
          <w:iCs/>
          <w:sz w:val="24"/>
          <w:szCs w:val="24"/>
        </w:rPr>
      </w:pPr>
      <w:r w:rsidRPr="00EC200C">
        <w:rPr>
          <w:rFonts w:ascii="Times New Roman" w:eastAsia="Calibri" w:hAnsi="Times New Roman" w:cs="Times New Roman"/>
          <w:sz w:val="24"/>
          <w:szCs w:val="24"/>
          <w:lang w:val="en-GB" w:eastAsia="en-GB"/>
        </w:rPr>
        <w:t>ANEKSI</w:t>
      </w:r>
      <w:r w:rsidRPr="00EC200C">
        <w:rPr>
          <w:rFonts w:ascii="Times New Roman" w:eastAsia="Calibri" w:hAnsi="Times New Roman" w:cs="Times New Roman"/>
          <w:iCs/>
          <w:sz w:val="24"/>
          <w:szCs w:val="24"/>
        </w:rPr>
        <w:t xml:space="preserve"> IB</w:t>
      </w:r>
    </w:p>
    <w:p w:rsidR="00274572" w:rsidRPr="00EC200C" w:rsidRDefault="00274572" w:rsidP="00274572">
      <w:pPr>
        <w:autoSpaceDE w:val="0"/>
        <w:autoSpaceDN w:val="0"/>
        <w:adjustRightInd w:val="0"/>
        <w:spacing w:after="0"/>
        <w:rPr>
          <w:rFonts w:ascii="Times New Roman" w:eastAsia="Calibri" w:hAnsi="Times New Roman" w:cs="Times New Roman"/>
          <w:i/>
          <w:iCs/>
          <w:sz w:val="24"/>
          <w:szCs w:val="24"/>
        </w:rPr>
      </w:pPr>
    </w:p>
    <w:p w:rsidR="00274572" w:rsidRPr="00EC200C" w:rsidRDefault="00274572" w:rsidP="00274572">
      <w:pPr>
        <w:autoSpaceDE w:val="0"/>
        <w:autoSpaceDN w:val="0"/>
        <w:adjustRightInd w:val="0"/>
        <w:spacing w:after="0"/>
        <w:jc w:val="center"/>
        <w:rPr>
          <w:rFonts w:ascii="Times New Roman" w:eastAsia="Calibri" w:hAnsi="Times New Roman" w:cs="Times New Roman"/>
          <w:bCs/>
          <w:sz w:val="24"/>
          <w:szCs w:val="24"/>
          <w:lang w:val="it-IT"/>
        </w:rPr>
      </w:pPr>
      <w:r w:rsidRPr="00EC200C">
        <w:rPr>
          <w:rFonts w:ascii="Times New Roman" w:eastAsia="Calibri" w:hAnsi="Times New Roman" w:cs="Times New Roman"/>
          <w:bCs/>
          <w:sz w:val="24"/>
          <w:szCs w:val="24"/>
          <w:lang w:val="it-IT"/>
        </w:rPr>
        <w:t>VLERAT KUFI PËR METALET E RËNDA TË PËRQËNDRUARA NË LLUMRAT QË PËRDOREN NË BUJQËSI</w:t>
      </w:r>
    </w:p>
    <w:p w:rsidR="00274572" w:rsidRPr="00EC200C" w:rsidRDefault="00274572" w:rsidP="00274572">
      <w:pPr>
        <w:autoSpaceDE w:val="0"/>
        <w:autoSpaceDN w:val="0"/>
        <w:adjustRightInd w:val="0"/>
        <w:spacing w:after="0"/>
        <w:jc w:val="center"/>
        <w:rPr>
          <w:rFonts w:ascii="Times New Roman" w:eastAsia="Calibri" w:hAnsi="Times New Roman" w:cs="Times New Roman"/>
          <w:sz w:val="24"/>
          <w:szCs w:val="24"/>
          <w:lang w:val="it-IT"/>
        </w:rPr>
      </w:pPr>
    </w:p>
    <w:p w:rsidR="00274572" w:rsidRPr="00EC200C" w:rsidRDefault="00274572" w:rsidP="00274572">
      <w:pPr>
        <w:autoSpaceDE w:val="0"/>
        <w:autoSpaceDN w:val="0"/>
        <w:adjustRightInd w:val="0"/>
        <w:spacing w:after="0"/>
        <w:jc w:val="center"/>
        <w:rPr>
          <w:rFonts w:ascii="Times New Roman" w:eastAsia="Calibri" w:hAnsi="Times New Roman" w:cs="Times New Roman"/>
          <w:sz w:val="24"/>
          <w:szCs w:val="24"/>
          <w:lang w:val="it-IT"/>
        </w:rPr>
      </w:pPr>
      <w:r w:rsidRPr="00EC200C">
        <w:rPr>
          <w:rFonts w:ascii="Times New Roman" w:eastAsia="Calibri" w:hAnsi="Times New Roman" w:cs="Times New Roman"/>
          <w:sz w:val="24"/>
          <w:szCs w:val="24"/>
          <w:lang w:val="it-IT"/>
        </w:rPr>
        <w:t>(në mg/kg lëndë e thatë)</w:t>
      </w:r>
    </w:p>
    <w:p w:rsidR="00274572" w:rsidRPr="00EC200C" w:rsidRDefault="00274572" w:rsidP="00274572">
      <w:pPr>
        <w:autoSpaceDE w:val="0"/>
        <w:autoSpaceDN w:val="0"/>
        <w:adjustRightInd w:val="0"/>
        <w:spacing w:after="0"/>
        <w:jc w:val="center"/>
        <w:rPr>
          <w:rFonts w:ascii="Times New Roman" w:eastAsia="Calibri" w:hAnsi="Times New Roman" w:cs="Times New Roman"/>
          <w:bCs/>
          <w:sz w:val="24"/>
          <w:szCs w:val="24"/>
          <w:lang w:val="it-IT"/>
        </w:rPr>
      </w:pP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274572" w:rsidRPr="00EC200C" w:rsidTr="009429A6">
        <w:tc>
          <w:tcPr>
            <w:tcW w:w="4788" w:type="dxa"/>
          </w:tcPr>
          <w:p w:rsidR="00274572" w:rsidRPr="00EC200C" w:rsidRDefault="00274572" w:rsidP="00274572">
            <w:pPr>
              <w:autoSpaceDE w:val="0"/>
              <w:autoSpaceDN w:val="0"/>
              <w:adjustRightInd w:val="0"/>
              <w:spacing w:after="0"/>
              <w:rPr>
                <w:rFonts w:ascii="Times New Roman" w:eastAsia="Calibri" w:hAnsi="Times New Roman" w:cs="Times New Roman"/>
                <w:bCs/>
                <w:sz w:val="24"/>
                <w:szCs w:val="24"/>
              </w:rPr>
            </w:pPr>
            <w:r w:rsidRPr="00EC200C">
              <w:rPr>
                <w:rFonts w:ascii="Times New Roman" w:eastAsia="Calibri" w:hAnsi="Times New Roman" w:cs="Times New Roman"/>
                <w:sz w:val="24"/>
                <w:szCs w:val="24"/>
              </w:rPr>
              <w:t>Parametrat</w:t>
            </w:r>
          </w:p>
        </w:tc>
        <w:tc>
          <w:tcPr>
            <w:tcW w:w="4788" w:type="dxa"/>
          </w:tcPr>
          <w:p w:rsidR="00274572" w:rsidRPr="00EC200C" w:rsidRDefault="00274572" w:rsidP="00274572">
            <w:pPr>
              <w:autoSpaceDE w:val="0"/>
              <w:autoSpaceDN w:val="0"/>
              <w:adjustRightInd w:val="0"/>
              <w:spacing w:after="0"/>
              <w:jc w:val="center"/>
              <w:rPr>
                <w:rFonts w:ascii="Times New Roman" w:eastAsia="Calibri" w:hAnsi="Times New Roman" w:cs="Times New Roman"/>
                <w:sz w:val="24"/>
                <w:szCs w:val="24"/>
              </w:rPr>
            </w:pPr>
            <w:r w:rsidRPr="00EC200C">
              <w:rPr>
                <w:rFonts w:ascii="Times New Roman" w:eastAsia="Calibri" w:hAnsi="Times New Roman" w:cs="Times New Roman"/>
                <w:sz w:val="24"/>
                <w:szCs w:val="24"/>
              </w:rPr>
              <w:t>Vlerat kufi</w:t>
            </w:r>
          </w:p>
        </w:tc>
      </w:tr>
      <w:tr w:rsidR="00274572" w:rsidRPr="00EC200C" w:rsidTr="009429A6">
        <w:tc>
          <w:tcPr>
            <w:tcW w:w="4788" w:type="dxa"/>
          </w:tcPr>
          <w:p w:rsidR="00274572" w:rsidRPr="00EC200C" w:rsidRDefault="00274572" w:rsidP="00274572">
            <w:pPr>
              <w:autoSpaceDE w:val="0"/>
              <w:autoSpaceDN w:val="0"/>
              <w:adjustRightInd w:val="0"/>
              <w:spacing w:after="0"/>
              <w:rPr>
                <w:rFonts w:ascii="Times New Roman" w:eastAsia="Calibri" w:hAnsi="Times New Roman" w:cs="Times New Roman"/>
                <w:bCs/>
                <w:sz w:val="24"/>
                <w:szCs w:val="24"/>
              </w:rPr>
            </w:pPr>
            <w:r w:rsidRPr="00EC200C">
              <w:rPr>
                <w:rFonts w:ascii="Times New Roman" w:eastAsia="Calibri" w:hAnsi="Times New Roman" w:cs="Times New Roman"/>
                <w:sz w:val="24"/>
                <w:szCs w:val="24"/>
              </w:rPr>
              <w:t>Kadmium</w:t>
            </w:r>
          </w:p>
        </w:tc>
        <w:tc>
          <w:tcPr>
            <w:tcW w:w="4788" w:type="dxa"/>
          </w:tcPr>
          <w:p w:rsidR="00274572" w:rsidRPr="00EC200C" w:rsidRDefault="00274572" w:rsidP="00274572">
            <w:pPr>
              <w:autoSpaceDE w:val="0"/>
              <w:autoSpaceDN w:val="0"/>
              <w:adjustRightInd w:val="0"/>
              <w:spacing w:after="0"/>
              <w:jc w:val="center"/>
              <w:rPr>
                <w:rFonts w:ascii="Times New Roman" w:eastAsia="Calibri" w:hAnsi="Times New Roman" w:cs="Times New Roman"/>
                <w:sz w:val="24"/>
                <w:szCs w:val="24"/>
              </w:rPr>
            </w:pPr>
            <w:r w:rsidRPr="00EC200C">
              <w:rPr>
                <w:rFonts w:ascii="Times New Roman" w:eastAsia="Calibri" w:hAnsi="Times New Roman" w:cs="Times New Roman"/>
                <w:sz w:val="24"/>
                <w:szCs w:val="24"/>
              </w:rPr>
              <w:t>30</w:t>
            </w:r>
          </w:p>
        </w:tc>
      </w:tr>
      <w:tr w:rsidR="00274572" w:rsidRPr="00EC200C" w:rsidTr="009429A6">
        <w:tc>
          <w:tcPr>
            <w:tcW w:w="4788" w:type="dxa"/>
          </w:tcPr>
          <w:p w:rsidR="00274572" w:rsidRPr="00EC200C" w:rsidRDefault="00274572" w:rsidP="00274572">
            <w:pPr>
              <w:autoSpaceDE w:val="0"/>
              <w:autoSpaceDN w:val="0"/>
              <w:adjustRightInd w:val="0"/>
              <w:spacing w:after="0"/>
              <w:rPr>
                <w:rFonts w:ascii="Times New Roman" w:eastAsia="Calibri" w:hAnsi="Times New Roman" w:cs="Times New Roman"/>
                <w:bCs/>
                <w:sz w:val="24"/>
                <w:szCs w:val="24"/>
              </w:rPr>
            </w:pPr>
            <w:r w:rsidRPr="00EC200C">
              <w:rPr>
                <w:rFonts w:ascii="Times New Roman" w:eastAsia="Calibri" w:hAnsi="Times New Roman" w:cs="Times New Roman"/>
                <w:sz w:val="24"/>
                <w:szCs w:val="24"/>
              </w:rPr>
              <w:t>Bakër</w:t>
            </w:r>
          </w:p>
        </w:tc>
        <w:tc>
          <w:tcPr>
            <w:tcW w:w="4788" w:type="dxa"/>
          </w:tcPr>
          <w:p w:rsidR="00274572" w:rsidRPr="00EC200C" w:rsidRDefault="00274572" w:rsidP="00274572">
            <w:pPr>
              <w:autoSpaceDE w:val="0"/>
              <w:autoSpaceDN w:val="0"/>
              <w:adjustRightInd w:val="0"/>
              <w:spacing w:after="0"/>
              <w:jc w:val="center"/>
              <w:rPr>
                <w:rFonts w:ascii="Times New Roman" w:eastAsia="Calibri" w:hAnsi="Times New Roman" w:cs="Times New Roman"/>
                <w:sz w:val="24"/>
                <w:szCs w:val="24"/>
              </w:rPr>
            </w:pPr>
            <w:r w:rsidRPr="00EC200C">
              <w:rPr>
                <w:rFonts w:ascii="Times New Roman" w:eastAsia="Calibri" w:hAnsi="Times New Roman" w:cs="Times New Roman"/>
                <w:sz w:val="24"/>
                <w:szCs w:val="24"/>
              </w:rPr>
              <w:t xml:space="preserve">1 000 </w:t>
            </w:r>
          </w:p>
        </w:tc>
      </w:tr>
      <w:tr w:rsidR="00274572" w:rsidRPr="00EC200C" w:rsidTr="009429A6">
        <w:tc>
          <w:tcPr>
            <w:tcW w:w="4788" w:type="dxa"/>
          </w:tcPr>
          <w:p w:rsidR="00274572" w:rsidRPr="00EC200C" w:rsidRDefault="00274572" w:rsidP="00274572">
            <w:pPr>
              <w:autoSpaceDE w:val="0"/>
              <w:autoSpaceDN w:val="0"/>
              <w:adjustRightInd w:val="0"/>
              <w:spacing w:after="0"/>
              <w:rPr>
                <w:rFonts w:ascii="Times New Roman" w:eastAsia="Calibri" w:hAnsi="Times New Roman" w:cs="Times New Roman"/>
                <w:bCs/>
                <w:sz w:val="24"/>
                <w:szCs w:val="24"/>
              </w:rPr>
            </w:pPr>
            <w:r w:rsidRPr="00EC200C">
              <w:rPr>
                <w:rFonts w:ascii="Times New Roman" w:eastAsia="Calibri" w:hAnsi="Times New Roman" w:cs="Times New Roman"/>
                <w:sz w:val="24"/>
                <w:szCs w:val="24"/>
              </w:rPr>
              <w:t>Nikel</w:t>
            </w:r>
          </w:p>
        </w:tc>
        <w:tc>
          <w:tcPr>
            <w:tcW w:w="4788" w:type="dxa"/>
          </w:tcPr>
          <w:p w:rsidR="00274572" w:rsidRPr="00EC200C" w:rsidRDefault="00274572" w:rsidP="00274572">
            <w:pPr>
              <w:autoSpaceDE w:val="0"/>
              <w:autoSpaceDN w:val="0"/>
              <w:adjustRightInd w:val="0"/>
              <w:spacing w:after="0"/>
              <w:jc w:val="center"/>
              <w:rPr>
                <w:rFonts w:ascii="Times New Roman" w:eastAsia="Calibri" w:hAnsi="Times New Roman" w:cs="Times New Roman"/>
                <w:sz w:val="24"/>
                <w:szCs w:val="24"/>
              </w:rPr>
            </w:pPr>
            <w:r w:rsidRPr="00EC200C">
              <w:rPr>
                <w:rFonts w:ascii="Times New Roman" w:eastAsia="Calibri" w:hAnsi="Times New Roman" w:cs="Times New Roman"/>
                <w:sz w:val="24"/>
                <w:szCs w:val="24"/>
              </w:rPr>
              <w:t>400</w:t>
            </w:r>
          </w:p>
        </w:tc>
      </w:tr>
      <w:tr w:rsidR="00274572" w:rsidRPr="00EC200C" w:rsidTr="009429A6">
        <w:tc>
          <w:tcPr>
            <w:tcW w:w="4788" w:type="dxa"/>
          </w:tcPr>
          <w:p w:rsidR="00274572" w:rsidRPr="00EC200C" w:rsidRDefault="00274572" w:rsidP="00274572">
            <w:pPr>
              <w:autoSpaceDE w:val="0"/>
              <w:autoSpaceDN w:val="0"/>
              <w:adjustRightInd w:val="0"/>
              <w:spacing w:after="0"/>
              <w:rPr>
                <w:rFonts w:ascii="Times New Roman" w:eastAsia="Calibri" w:hAnsi="Times New Roman" w:cs="Times New Roman"/>
                <w:bCs/>
                <w:sz w:val="24"/>
                <w:szCs w:val="24"/>
              </w:rPr>
            </w:pPr>
            <w:r w:rsidRPr="00EC200C">
              <w:rPr>
                <w:rFonts w:ascii="Times New Roman" w:eastAsia="Calibri" w:hAnsi="Times New Roman" w:cs="Times New Roman"/>
                <w:sz w:val="24"/>
                <w:szCs w:val="24"/>
              </w:rPr>
              <w:t>Plumb</w:t>
            </w:r>
          </w:p>
        </w:tc>
        <w:tc>
          <w:tcPr>
            <w:tcW w:w="4788" w:type="dxa"/>
          </w:tcPr>
          <w:p w:rsidR="00274572" w:rsidRPr="00EC200C" w:rsidRDefault="00274572" w:rsidP="00274572">
            <w:pPr>
              <w:autoSpaceDE w:val="0"/>
              <w:autoSpaceDN w:val="0"/>
              <w:adjustRightInd w:val="0"/>
              <w:spacing w:after="0"/>
              <w:jc w:val="center"/>
              <w:rPr>
                <w:rFonts w:ascii="Times New Roman" w:eastAsia="Calibri" w:hAnsi="Times New Roman" w:cs="Times New Roman"/>
                <w:sz w:val="24"/>
                <w:szCs w:val="24"/>
              </w:rPr>
            </w:pPr>
            <w:r w:rsidRPr="00EC200C">
              <w:rPr>
                <w:rFonts w:ascii="Times New Roman" w:eastAsia="Calibri" w:hAnsi="Times New Roman" w:cs="Times New Roman"/>
                <w:sz w:val="24"/>
                <w:szCs w:val="24"/>
              </w:rPr>
              <w:t>800</w:t>
            </w:r>
          </w:p>
        </w:tc>
      </w:tr>
      <w:tr w:rsidR="00274572" w:rsidRPr="00EC200C" w:rsidTr="009429A6">
        <w:tc>
          <w:tcPr>
            <w:tcW w:w="4788" w:type="dxa"/>
          </w:tcPr>
          <w:p w:rsidR="00274572" w:rsidRPr="00EC200C" w:rsidRDefault="00274572" w:rsidP="00274572">
            <w:pPr>
              <w:autoSpaceDE w:val="0"/>
              <w:autoSpaceDN w:val="0"/>
              <w:adjustRightInd w:val="0"/>
              <w:spacing w:after="0"/>
              <w:rPr>
                <w:rFonts w:ascii="Times New Roman" w:eastAsia="Calibri" w:hAnsi="Times New Roman" w:cs="Times New Roman"/>
                <w:bCs/>
                <w:sz w:val="24"/>
                <w:szCs w:val="24"/>
              </w:rPr>
            </w:pPr>
            <w:r w:rsidRPr="00EC200C">
              <w:rPr>
                <w:rFonts w:ascii="Times New Roman" w:eastAsia="Calibri" w:hAnsi="Times New Roman" w:cs="Times New Roman"/>
                <w:sz w:val="24"/>
                <w:szCs w:val="24"/>
              </w:rPr>
              <w:t>Zink</w:t>
            </w:r>
          </w:p>
        </w:tc>
        <w:tc>
          <w:tcPr>
            <w:tcW w:w="4788" w:type="dxa"/>
          </w:tcPr>
          <w:p w:rsidR="00274572" w:rsidRPr="00EC200C" w:rsidRDefault="00274572" w:rsidP="00274572">
            <w:pPr>
              <w:autoSpaceDE w:val="0"/>
              <w:autoSpaceDN w:val="0"/>
              <w:adjustRightInd w:val="0"/>
              <w:spacing w:after="0"/>
              <w:jc w:val="center"/>
              <w:rPr>
                <w:rFonts w:ascii="Times New Roman" w:eastAsia="Calibri" w:hAnsi="Times New Roman" w:cs="Times New Roman"/>
                <w:sz w:val="24"/>
                <w:szCs w:val="24"/>
              </w:rPr>
            </w:pPr>
            <w:r w:rsidRPr="00EC200C">
              <w:rPr>
                <w:rFonts w:ascii="Times New Roman" w:eastAsia="Calibri" w:hAnsi="Times New Roman" w:cs="Times New Roman"/>
                <w:sz w:val="24"/>
                <w:szCs w:val="24"/>
              </w:rPr>
              <w:t>3500</w:t>
            </w:r>
          </w:p>
        </w:tc>
      </w:tr>
      <w:tr w:rsidR="00274572" w:rsidRPr="00EC200C" w:rsidTr="009429A6">
        <w:tc>
          <w:tcPr>
            <w:tcW w:w="4788" w:type="dxa"/>
          </w:tcPr>
          <w:p w:rsidR="00274572" w:rsidRPr="00EC200C" w:rsidRDefault="00274572" w:rsidP="00274572">
            <w:pPr>
              <w:autoSpaceDE w:val="0"/>
              <w:autoSpaceDN w:val="0"/>
              <w:adjustRightInd w:val="0"/>
              <w:spacing w:after="0"/>
              <w:rPr>
                <w:rFonts w:ascii="Times New Roman" w:eastAsia="Calibri" w:hAnsi="Times New Roman" w:cs="Times New Roman"/>
                <w:bCs/>
                <w:sz w:val="24"/>
                <w:szCs w:val="24"/>
              </w:rPr>
            </w:pPr>
            <w:r w:rsidRPr="00EC200C">
              <w:rPr>
                <w:rFonts w:ascii="Times New Roman" w:eastAsia="Calibri" w:hAnsi="Times New Roman" w:cs="Times New Roman"/>
                <w:sz w:val="24"/>
                <w:szCs w:val="24"/>
              </w:rPr>
              <w:t>Merkur</w:t>
            </w:r>
          </w:p>
        </w:tc>
        <w:tc>
          <w:tcPr>
            <w:tcW w:w="4788" w:type="dxa"/>
          </w:tcPr>
          <w:p w:rsidR="00274572" w:rsidRPr="00EC200C" w:rsidRDefault="00274572" w:rsidP="00274572">
            <w:pPr>
              <w:autoSpaceDE w:val="0"/>
              <w:autoSpaceDN w:val="0"/>
              <w:adjustRightInd w:val="0"/>
              <w:spacing w:after="0"/>
              <w:jc w:val="center"/>
              <w:rPr>
                <w:rFonts w:ascii="Times New Roman" w:eastAsia="Calibri" w:hAnsi="Times New Roman" w:cs="Times New Roman"/>
                <w:sz w:val="24"/>
                <w:szCs w:val="24"/>
              </w:rPr>
            </w:pPr>
            <w:r w:rsidRPr="00EC200C">
              <w:rPr>
                <w:rFonts w:ascii="Times New Roman" w:eastAsia="Calibri" w:hAnsi="Times New Roman" w:cs="Times New Roman"/>
                <w:sz w:val="24"/>
                <w:szCs w:val="24"/>
              </w:rPr>
              <w:t>20</w:t>
            </w:r>
          </w:p>
        </w:tc>
      </w:tr>
      <w:tr w:rsidR="00274572" w:rsidRPr="00EC200C" w:rsidTr="009429A6">
        <w:tc>
          <w:tcPr>
            <w:tcW w:w="4788" w:type="dxa"/>
          </w:tcPr>
          <w:p w:rsidR="00274572" w:rsidRPr="00EC200C" w:rsidRDefault="00274572" w:rsidP="00274572">
            <w:pPr>
              <w:autoSpaceDE w:val="0"/>
              <w:autoSpaceDN w:val="0"/>
              <w:adjustRightInd w:val="0"/>
              <w:spacing w:after="0"/>
              <w:rPr>
                <w:rFonts w:ascii="Times New Roman" w:eastAsia="Calibri" w:hAnsi="Times New Roman" w:cs="Times New Roman"/>
                <w:bCs/>
                <w:sz w:val="24"/>
                <w:szCs w:val="24"/>
              </w:rPr>
            </w:pPr>
            <w:r w:rsidRPr="00EC200C">
              <w:rPr>
                <w:rFonts w:ascii="Times New Roman" w:eastAsia="Calibri" w:hAnsi="Times New Roman" w:cs="Times New Roman"/>
                <w:sz w:val="24"/>
                <w:szCs w:val="24"/>
              </w:rPr>
              <w:t>Krom</w:t>
            </w:r>
          </w:p>
        </w:tc>
        <w:tc>
          <w:tcPr>
            <w:tcW w:w="4788" w:type="dxa"/>
          </w:tcPr>
          <w:p w:rsidR="00274572" w:rsidRPr="00EC200C" w:rsidRDefault="00274572" w:rsidP="00274572">
            <w:pPr>
              <w:autoSpaceDE w:val="0"/>
              <w:autoSpaceDN w:val="0"/>
              <w:adjustRightInd w:val="0"/>
              <w:spacing w:after="0"/>
              <w:jc w:val="center"/>
              <w:rPr>
                <w:rFonts w:ascii="Times New Roman" w:eastAsia="Calibri" w:hAnsi="Times New Roman" w:cs="Times New Roman"/>
                <w:sz w:val="24"/>
                <w:szCs w:val="24"/>
              </w:rPr>
            </w:pPr>
          </w:p>
        </w:tc>
      </w:tr>
    </w:tbl>
    <w:p w:rsidR="00274572" w:rsidRPr="00EC200C" w:rsidRDefault="00274572" w:rsidP="00274572">
      <w:pPr>
        <w:autoSpaceDE w:val="0"/>
        <w:autoSpaceDN w:val="0"/>
        <w:adjustRightInd w:val="0"/>
        <w:spacing w:after="0"/>
        <w:jc w:val="both"/>
        <w:rPr>
          <w:rFonts w:ascii="Times New Roman" w:eastAsia="Calibri" w:hAnsi="Times New Roman" w:cs="Times New Roman"/>
          <w:i/>
          <w:iCs/>
          <w:sz w:val="24"/>
          <w:szCs w:val="24"/>
        </w:rPr>
      </w:pPr>
    </w:p>
    <w:p w:rsidR="00274572" w:rsidRPr="00EC200C" w:rsidRDefault="00274572" w:rsidP="00274572">
      <w:pPr>
        <w:autoSpaceDE w:val="0"/>
        <w:autoSpaceDN w:val="0"/>
        <w:adjustRightInd w:val="0"/>
        <w:spacing w:after="0"/>
        <w:jc w:val="both"/>
        <w:rPr>
          <w:rFonts w:ascii="Times New Roman" w:eastAsia="Calibri" w:hAnsi="Times New Roman" w:cs="Times New Roman"/>
          <w:i/>
          <w:iCs/>
          <w:sz w:val="24"/>
          <w:szCs w:val="24"/>
        </w:rPr>
      </w:pPr>
    </w:p>
    <w:p w:rsidR="00274572" w:rsidRPr="00EC200C" w:rsidRDefault="00274572" w:rsidP="00274572">
      <w:pPr>
        <w:autoSpaceDE w:val="0"/>
        <w:autoSpaceDN w:val="0"/>
        <w:adjustRightInd w:val="0"/>
        <w:spacing w:after="0"/>
        <w:jc w:val="both"/>
        <w:rPr>
          <w:rFonts w:ascii="Times New Roman" w:eastAsia="Calibri" w:hAnsi="Times New Roman" w:cs="Times New Roman"/>
          <w:i/>
          <w:iCs/>
          <w:sz w:val="24"/>
          <w:szCs w:val="24"/>
        </w:rPr>
      </w:pPr>
    </w:p>
    <w:p w:rsidR="00274572" w:rsidRPr="00EC200C" w:rsidRDefault="00274572" w:rsidP="00274572">
      <w:pPr>
        <w:autoSpaceDE w:val="0"/>
        <w:autoSpaceDN w:val="0"/>
        <w:adjustRightInd w:val="0"/>
        <w:spacing w:after="0"/>
        <w:jc w:val="both"/>
        <w:rPr>
          <w:rFonts w:ascii="Times New Roman" w:eastAsia="Calibri" w:hAnsi="Times New Roman" w:cs="Times New Roman"/>
          <w:i/>
          <w:iCs/>
          <w:sz w:val="24"/>
          <w:szCs w:val="24"/>
        </w:rPr>
      </w:pPr>
    </w:p>
    <w:p w:rsidR="00274572" w:rsidRPr="00EC200C" w:rsidRDefault="00274572" w:rsidP="00274572">
      <w:pPr>
        <w:autoSpaceDE w:val="0"/>
        <w:autoSpaceDN w:val="0"/>
        <w:adjustRightInd w:val="0"/>
        <w:spacing w:after="0"/>
        <w:jc w:val="both"/>
        <w:rPr>
          <w:rFonts w:ascii="Times New Roman" w:eastAsia="Calibri" w:hAnsi="Times New Roman" w:cs="Times New Roman"/>
          <w:i/>
          <w:iCs/>
          <w:sz w:val="24"/>
          <w:szCs w:val="24"/>
        </w:rPr>
      </w:pPr>
    </w:p>
    <w:p w:rsidR="00274572" w:rsidRPr="00EC200C" w:rsidRDefault="00274572" w:rsidP="00274572">
      <w:pPr>
        <w:autoSpaceDE w:val="0"/>
        <w:autoSpaceDN w:val="0"/>
        <w:adjustRightInd w:val="0"/>
        <w:spacing w:after="0"/>
        <w:jc w:val="both"/>
        <w:rPr>
          <w:rFonts w:ascii="Times New Roman" w:eastAsia="Calibri" w:hAnsi="Times New Roman" w:cs="Times New Roman"/>
          <w:i/>
          <w:iCs/>
          <w:sz w:val="24"/>
          <w:szCs w:val="24"/>
        </w:rPr>
      </w:pPr>
    </w:p>
    <w:p w:rsidR="00274572" w:rsidRPr="00EC200C" w:rsidRDefault="00274572" w:rsidP="00274572">
      <w:pPr>
        <w:autoSpaceDE w:val="0"/>
        <w:autoSpaceDN w:val="0"/>
        <w:adjustRightInd w:val="0"/>
        <w:spacing w:after="0"/>
        <w:rPr>
          <w:rFonts w:ascii="Times New Roman" w:eastAsia="Calibri" w:hAnsi="Times New Roman" w:cs="Times New Roman"/>
          <w:i/>
          <w:iCs/>
          <w:sz w:val="24"/>
          <w:szCs w:val="24"/>
        </w:rPr>
      </w:pPr>
    </w:p>
    <w:p w:rsidR="00274572" w:rsidRPr="00EC200C" w:rsidRDefault="00274572" w:rsidP="00274572">
      <w:pPr>
        <w:autoSpaceDE w:val="0"/>
        <w:autoSpaceDN w:val="0"/>
        <w:adjustRightInd w:val="0"/>
        <w:spacing w:after="0"/>
        <w:rPr>
          <w:rFonts w:ascii="Times New Roman" w:eastAsia="Calibri" w:hAnsi="Times New Roman" w:cs="Times New Roman"/>
          <w:sz w:val="24"/>
          <w:szCs w:val="24"/>
          <w:lang w:val="en-GB" w:eastAsia="en-GB"/>
        </w:rPr>
      </w:pPr>
    </w:p>
    <w:p w:rsidR="00274572" w:rsidRPr="00EC200C" w:rsidRDefault="00274572" w:rsidP="00274572">
      <w:pPr>
        <w:autoSpaceDE w:val="0"/>
        <w:autoSpaceDN w:val="0"/>
        <w:adjustRightInd w:val="0"/>
        <w:spacing w:after="0"/>
        <w:jc w:val="center"/>
        <w:rPr>
          <w:rFonts w:ascii="Times New Roman" w:eastAsia="Calibri" w:hAnsi="Times New Roman" w:cs="Times New Roman"/>
          <w:iCs/>
          <w:sz w:val="24"/>
          <w:szCs w:val="24"/>
        </w:rPr>
      </w:pPr>
      <w:r w:rsidRPr="00EC200C">
        <w:rPr>
          <w:rFonts w:ascii="Times New Roman" w:eastAsia="Calibri" w:hAnsi="Times New Roman" w:cs="Times New Roman"/>
          <w:sz w:val="24"/>
          <w:szCs w:val="24"/>
          <w:lang w:val="en-GB" w:eastAsia="en-GB"/>
        </w:rPr>
        <w:t>ANEKSI</w:t>
      </w:r>
      <w:r w:rsidRPr="00EC200C">
        <w:rPr>
          <w:rFonts w:ascii="Times New Roman" w:eastAsia="Calibri" w:hAnsi="Times New Roman" w:cs="Times New Roman"/>
          <w:iCs/>
          <w:sz w:val="24"/>
          <w:szCs w:val="24"/>
        </w:rPr>
        <w:t xml:space="preserve"> I C</w:t>
      </w:r>
    </w:p>
    <w:p w:rsidR="00274572" w:rsidRPr="00EC200C" w:rsidRDefault="00274572" w:rsidP="00274572">
      <w:pPr>
        <w:autoSpaceDE w:val="0"/>
        <w:autoSpaceDN w:val="0"/>
        <w:adjustRightInd w:val="0"/>
        <w:spacing w:after="0"/>
        <w:jc w:val="center"/>
        <w:rPr>
          <w:rFonts w:ascii="Times New Roman" w:eastAsia="Calibri" w:hAnsi="Times New Roman" w:cs="Times New Roman"/>
          <w:i/>
          <w:iCs/>
          <w:sz w:val="24"/>
          <w:szCs w:val="24"/>
        </w:rPr>
      </w:pPr>
    </w:p>
    <w:p w:rsidR="00274572" w:rsidRPr="00EC200C" w:rsidRDefault="00274572" w:rsidP="00274572">
      <w:pPr>
        <w:autoSpaceDE w:val="0"/>
        <w:autoSpaceDN w:val="0"/>
        <w:adjustRightInd w:val="0"/>
        <w:spacing w:after="0"/>
        <w:jc w:val="center"/>
        <w:rPr>
          <w:rFonts w:ascii="Times New Roman" w:eastAsia="Calibri" w:hAnsi="Times New Roman" w:cs="Times New Roman"/>
          <w:bCs/>
          <w:sz w:val="24"/>
          <w:szCs w:val="24"/>
        </w:rPr>
      </w:pPr>
      <w:r w:rsidRPr="00EC200C">
        <w:rPr>
          <w:rFonts w:ascii="Times New Roman" w:eastAsia="Calibri" w:hAnsi="Times New Roman" w:cs="Times New Roman"/>
          <w:bCs/>
          <w:sz w:val="24"/>
          <w:szCs w:val="24"/>
        </w:rPr>
        <w:t>VLERAT KUFI P</w:t>
      </w:r>
      <w:bookmarkStart w:id="1" w:name="OLE_LINK1"/>
      <w:bookmarkStart w:id="2" w:name="OLE_LINK4"/>
      <w:r w:rsidRPr="00EC200C">
        <w:rPr>
          <w:rFonts w:ascii="Times New Roman" w:eastAsia="Calibri" w:hAnsi="Times New Roman" w:cs="Times New Roman"/>
          <w:bCs/>
          <w:sz w:val="24"/>
          <w:szCs w:val="24"/>
        </w:rPr>
        <w:t>Ë</w:t>
      </w:r>
      <w:bookmarkEnd w:id="1"/>
      <w:bookmarkEnd w:id="2"/>
      <w:r w:rsidRPr="00EC200C">
        <w:rPr>
          <w:rFonts w:ascii="Times New Roman" w:eastAsia="Calibri" w:hAnsi="Times New Roman" w:cs="Times New Roman"/>
          <w:bCs/>
          <w:sz w:val="24"/>
          <w:szCs w:val="24"/>
        </w:rPr>
        <w:t>R SASINË E METALEVE TË RËNDA QË MUND TË SHTOHEN ÇDO VIT NË TOKË BUJQËSORE, BAZUAR NË MESATARENE 10 VITEVE</w:t>
      </w:r>
    </w:p>
    <w:p w:rsidR="00274572" w:rsidRPr="00EC200C" w:rsidRDefault="00274572" w:rsidP="00274572">
      <w:pPr>
        <w:autoSpaceDE w:val="0"/>
        <w:autoSpaceDN w:val="0"/>
        <w:adjustRightInd w:val="0"/>
        <w:spacing w:after="0"/>
        <w:rPr>
          <w:rFonts w:ascii="Times New Roman" w:eastAsia="Calibri" w:hAnsi="Times New Roman" w:cs="Times New Roman"/>
          <w:bCs/>
          <w:sz w:val="24"/>
          <w:szCs w:val="24"/>
        </w:rPr>
      </w:pPr>
    </w:p>
    <w:p w:rsidR="00274572" w:rsidRPr="00EC200C" w:rsidRDefault="00274572" w:rsidP="00274572">
      <w:pPr>
        <w:autoSpaceDE w:val="0"/>
        <w:autoSpaceDN w:val="0"/>
        <w:adjustRightInd w:val="0"/>
        <w:spacing w:after="0"/>
        <w:jc w:val="center"/>
        <w:rPr>
          <w:rFonts w:ascii="Times New Roman" w:eastAsia="Calibri" w:hAnsi="Times New Roman" w:cs="Times New Roman"/>
          <w:sz w:val="24"/>
          <w:szCs w:val="24"/>
        </w:rPr>
      </w:pPr>
      <w:r w:rsidRPr="00EC200C">
        <w:rPr>
          <w:rFonts w:ascii="Times New Roman" w:eastAsia="Calibri" w:hAnsi="Times New Roman" w:cs="Times New Roman"/>
          <w:bCs/>
          <w:sz w:val="24"/>
          <w:szCs w:val="24"/>
        </w:rPr>
        <w:t>(kg/ha/vit)</w:t>
      </w:r>
    </w:p>
    <w:p w:rsidR="00274572" w:rsidRPr="00EC200C" w:rsidRDefault="00274572" w:rsidP="00274572">
      <w:pPr>
        <w:autoSpaceDE w:val="0"/>
        <w:autoSpaceDN w:val="0"/>
        <w:adjustRightInd w:val="0"/>
        <w:spacing w:after="0"/>
        <w:jc w:val="center"/>
        <w:rPr>
          <w:rFonts w:ascii="Times New Roman" w:eastAsia="Calibri" w:hAnsi="Times New Roman" w:cs="Times New Roman"/>
          <w:bCs/>
          <w:sz w:val="24"/>
          <w:szCs w:val="24"/>
        </w:rPr>
      </w:pP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274572" w:rsidRPr="00EC200C" w:rsidTr="009429A6">
        <w:tc>
          <w:tcPr>
            <w:tcW w:w="4788" w:type="dxa"/>
          </w:tcPr>
          <w:p w:rsidR="00274572" w:rsidRPr="00EC200C" w:rsidRDefault="00274572" w:rsidP="00274572">
            <w:pPr>
              <w:autoSpaceDE w:val="0"/>
              <w:autoSpaceDN w:val="0"/>
              <w:adjustRightInd w:val="0"/>
              <w:spacing w:after="0"/>
              <w:rPr>
                <w:rFonts w:ascii="Times New Roman" w:eastAsia="Calibri" w:hAnsi="Times New Roman" w:cs="Times New Roman"/>
                <w:bCs/>
                <w:sz w:val="24"/>
                <w:szCs w:val="24"/>
              </w:rPr>
            </w:pPr>
            <w:r w:rsidRPr="00EC200C">
              <w:rPr>
                <w:rFonts w:ascii="Times New Roman" w:eastAsia="Calibri" w:hAnsi="Times New Roman" w:cs="Times New Roman"/>
                <w:sz w:val="24"/>
                <w:szCs w:val="24"/>
              </w:rPr>
              <w:t>Parametrat</w:t>
            </w:r>
          </w:p>
        </w:tc>
        <w:tc>
          <w:tcPr>
            <w:tcW w:w="4788" w:type="dxa"/>
          </w:tcPr>
          <w:p w:rsidR="00274572" w:rsidRPr="00EC200C" w:rsidRDefault="00274572" w:rsidP="00274572">
            <w:pPr>
              <w:autoSpaceDE w:val="0"/>
              <w:autoSpaceDN w:val="0"/>
              <w:adjustRightInd w:val="0"/>
              <w:spacing w:after="0"/>
              <w:jc w:val="center"/>
              <w:rPr>
                <w:rFonts w:ascii="Times New Roman" w:eastAsia="Calibri" w:hAnsi="Times New Roman" w:cs="Times New Roman"/>
                <w:sz w:val="24"/>
                <w:szCs w:val="24"/>
              </w:rPr>
            </w:pPr>
            <w:r w:rsidRPr="00EC200C">
              <w:rPr>
                <w:rFonts w:ascii="Times New Roman" w:eastAsia="Calibri" w:hAnsi="Times New Roman" w:cs="Times New Roman"/>
                <w:sz w:val="24"/>
                <w:szCs w:val="24"/>
              </w:rPr>
              <w:t>Vlerat kufi</w:t>
            </w:r>
          </w:p>
        </w:tc>
      </w:tr>
      <w:tr w:rsidR="00274572" w:rsidRPr="00EC200C" w:rsidTr="009429A6">
        <w:tc>
          <w:tcPr>
            <w:tcW w:w="4788" w:type="dxa"/>
          </w:tcPr>
          <w:p w:rsidR="00274572" w:rsidRPr="00EC200C" w:rsidRDefault="00274572" w:rsidP="00274572">
            <w:pPr>
              <w:autoSpaceDE w:val="0"/>
              <w:autoSpaceDN w:val="0"/>
              <w:adjustRightInd w:val="0"/>
              <w:spacing w:after="0"/>
              <w:rPr>
                <w:rFonts w:ascii="Times New Roman" w:eastAsia="Calibri" w:hAnsi="Times New Roman" w:cs="Times New Roman"/>
                <w:bCs/>
                <w:sz w:val="24"/>
                <w:szCs w:val="24"/>
              </w:rPr>
            </w:pPr>
            <w:r w:rsidRPr="00EC200C">
              <w:rPr>
                <w:rFonts w:ascii="Times New Roman" w:eastAsia="Calibri" w:hAnsi="Times New Roman" w:cs="Times New Roman"/>
                <w:sz w:val="24"/>
                <w:szCs w:val="24"/>
              </w:rPr>
              <w:t>Kadmium</w:t>
            </w:r>
          </w:p>
        </w:tc>
        <w:tc>
          <w:tcPr>
            <w:tcW w:w="4788" w:type="dxa"/>
          </w:tcPr>
          <w:p w:rsidR="00274572" w:rsidRPr="00EC200C" w:rsidRDefault="00274572" w:rsidP="00274572">
            <w:pPr>
              <w:autoSpaceDE w:val="0"/>
              <w:autoSpaceDN w:val="0"/>
              <w:adjustRightInd w:val="0"/>
              <w:spacing w:after="0"/>
              <w:jc w:val="center"/>
              <w:rPr>
                <w:rFonts w:ascii="Times New Roman" w:eastAsia="Calibri" w:hAnsi="Times New Roman" w:cs="Times New Roman"/>
                <w:sz w:val="24"/>
                <w:szCs w:val="24"/>
              </w:rPr>
            </w:pPr>
            <w:r w:rsidRPr="00EC200C">
              <w:rPr>
                <w:rFonts w:ascii="Times New Roman" w:eastAsia="Calibri" w:hAnsi="Times New Roman" w:cs="Times New Roman"/>
                <w:sz w:val="24"/>
                <w:szCs w:val="24"/>
              </w:rPr>
              <w:t>0,15</w:t>
            </w:r>
          </w:p>
        </w:tc>
      </w:tr>
      <w:tr w:rsidR="00274572" w:rsidRPr="00EC200C" w:rsidTr="009429A6">
        <w:tc>
          <w:tcPr>
            <w:tcW w:w="4788" w:type="dxa"/>
          </w:tcPr>
          <w:p w:rsidR="00274572" w:rsidRPr="00EC200C" w:rsidRDefault="00274572" w:rsidP="00274572">
            <w:pPr>
              <w:autoSpaceDE w:val="0"/>
              <w:autoSpaceDN w:val="0"/>
              <w:adjustRightInd w:val="0"/>
              <w:spacing w:after="0"/>
              <w:rPr>
                <w:rFonts w:ascii="Times New Roman" w:eastAsia="Calibri" w:hAnsi="Times New Roman" w:cs="Times New Roman"/>
                <w:bCs/>
                <w:sz w:val="24"/>
                <w:szCs w:val="24"/>
              </w:rPr>
            </w:pPr>
            <w:r w:rsidRPr="00EC200C">
              <w:rPr>
                <w:rFonts w:ascii="Times New Roman" w:eastAsia="Calibri" w:hAnsi="Times New Roman" w:cs="Times New Roman"/>
                <w:sz w:val="24"/>
                <w:szCs w:val="24"/>
              </w:rPr>
              <w:t>Bakër</w:t>
            </w:r>
          </w:p>
        </w:tc>
        <w:tc>
          <w:tcPr>
            <w:tcW w:w="4788" w:type="dxa"/>
          </w:tcPr>
          <w:p w:rsidR="00274572" w:rsidRPr="00EC200C" w:rsidRDefault="00274572" w:rsidP="00274572">
            <w:pPr>
              <w:autoSpaceDE w:val="0"/>
              <w:autoSpaceDN w:val="0"/>
              <w:adjustRightInd w:val="0"/>
              <w:spacing w:after="0"/>
              <w:jc w:val="center"/>
              <w:rPr>
                <w:rFonts w:ascii="Times New Roman" w:eastAsia="Calibri" w:hAnsi="Times New Roman" w:cs="Times New Roman"/>
                <w:sz w:val="24"/>
                <w:szCs w:val="24"/>
              </w:rPr>
            </w:pPr>
            <w:r w:rsidRPr="00EC200C">
              <w:rPr>
                <w:rFonts w:ascii="Times New Roman" w:eastAsia="Calibri" w:hAnsi="Times New Roman" w:cs="Times New Roman"/>
                <w:sz w:val="24"/>
                <w:szCs w:val="24"/>
              </w:rPr>
              <w:t>12</w:t>
            </w:r>
          </w:p>
        </w:tc>
      </w:tr>
      <w:tr w:rsidR="00274572" w:rsidRPr="00EC200C" w:rsidTr="009429A6">
        <w:tc>
          <w:tcPr>
            <w:tcW w:w="4788" w:type="dxa"/>
          </w:tcPr>
          <w:p w:rsidR="00274572" w:rsidRPr="00EC200C" w:rsidRDefault="00274572" w:rsidP="00274572">
            <w:pPr>
              <w:autoSpaceDE w:val="0"/>
              <w:autoSpaceDN w:val="0"/>
              <w:adjustRightInd w:val="0"/>
              <w:spacing w:after="0"/>
              <w:rPr>
                <w:rFonts w:ascii="Times New Roman" w:eastAsia="Calibri" w:hAnsi="Times New Roman" w:cs="Times New Roman"/>
                <w:sz w:val="24"/>
                <w:szCs w:val="24"/>
              </w:rPr>
            </w:pPr>
            <w:r w:rsidRPr="00EC200C">
              <w:rPr>
                <w:rFonts w:ascii="Times New Roman" w:eastAsia="Calibri" w:hAnsi="Times New Roman" w:cs="Times New Roman"/>
                <w:sz w:val="24"/>
                <w:szCs w:val="24"/>
              </w:rPr>
              <w:t xml:space="preserve">Nikel </w:t>
            </w:r>
          </w:p>
        </w:tc>
        <w:tc>
          <w:tcPr>
            <w:tcW w:w="4788" w:type="dxa"/>
          </w:tcPr>
          <w:p w:rsidR="00274572" w:rsidRPr="00EC200C" w:rsidRDefault="00274572" w:rsidP="00274572">
            <w:pPr>
              <w:autoSpaceDE w:val="0"/>
              <w:autoSpaceDN w:val="0"/>
              <w:adjustRightInd w:val="0"/>
              <w:spacing w:after="0"/>
              <w:jc w:val="center"/>
              <w:rPr>
                <w:rFonts w:ascii="Times New Roman" w:eastAsia="Calibri" w:hAnsi="Times New Roman" w:cs="Times New Roman"/>
                <w:bCs/>
                <w:sz w:val="24"/>
                <w:szCs w:val="24"/>
              </w:rPr>
            </w:pPr>
            <w:r w:rsidRPr="00EC200C">
              <w:rPr>
                <w:rFonts w:ascii="Times New Roman" w:eastAsia="Calibri" w:hAnsi="Times New Roman" w:cs="Times New Roman"/>
                <w:sz w:val="24"/>
                <w:szCs w:val="24"/>
              </w:rPr>
              <w:t>3</w:t>
            </w:r>
          </w:p>
        </w:tc>
      </w:tr>
      <w:tr w:rsidR="00274572" w:rsidRPr="00EC200C" w:rsidTr="009429A6">
        <w:trPr>
          <w:trHeight w:val="349"/>
        </w:trPr>
        <w:tc>
          <w:tcPr>
            <w:tcW w:w="4788" w:type="dxa"/>
          </w:tcPr>
          <w:p w:rsidR="00274572" w:rsidRPr="00EC200C" w:rsidRDefault="00274572" w:rsidP="00274572">
            <w:pPr>
              <w:autoSpaceDE w:val="0"/>
              <w:autoSpaceDN w:val="0"/>
              <w:adjustRightInd w:val="0"/>
              <w:spacing w:after="0"/>
              <w:rPr>
                <w:rFonts w:ascii="Times New Roman" w:eastAsia="Calibri" w:hAnsi="Times New Roman" w:cs="Times New Roman"/>
                <w:sz w:val="24"/>
                <w:szCs w:val="24"/>
              </w:rPr>
            </w:pPr>
            <w:r w:rsidRPr="00EC200C">
              <w:rPr>
                <w:rFonts w:ascii="Times New Roman" w:eastAsia="Calibri" w:hAnsi="Times New Roman" w:cs="Times New Roman"/>
                <w:sz w:val="24"/>
                <w:szCs w:val="24"/>
              </w:rPr>
              <w:t>Plumb</w:t>
            </w:r>
          </w:p>
        </w:tc>
        <w:tc>
          <w:tcPr>
            <w:tcW w:w="4788" w:type="dxa"/>
          </w:tcPr>
          <w:p w:rsidR="00274572" w:rsidRPr="00EC200C" w:rsidRDefault="00274572" w:rsidP="00274572">
            <w:pPr>
              <w:autoSpaceDE w:val="0"/>
              <w:autoSpaceDN w:val="0"/>
              <w:adjustRightInd w:val="0"/>
              <w:spacing w:after="0"/>
              <w:jc w:val="center"/>
              <w:rPr>
                <w:rFonts w:ascii="Times New Roman" w:eastAsia="Calibri" w:hAnsi="Times New Roman" w:cs="Times New Roman"/>
                <w:bCs/>
                <w:sz w:val="24"/>
                <w:szCs w:val="24"/>
              </w:rPr>
            </w:pPr>
            <w:r w:rsidRPr="00EC200C">
              <w:rPr>
                <w:rFonts w:ascii="Times New Roman" w:eastAsia="Calibri" w:hAnsi="Times New Roman" w:cs="Times New Roman"/>
                <w:sz w:val="24"/>
                <w:szCs w:val="24"/>
              </w:rPr>
              <w:t>15</w:t>
            </w:r>
          </w:p>
        </w:tc>
      </w:tr>
      <w:tr w:rsidR="00274572" w:rsidRPr="00EC200C" w:rsidTr="009429A6">
        <w:tc>
          <w:tcPr>
            <w:tcW w:w="4788" w:type="dxa"/>
          </w:tcPr>
          <w:p w:rsidR="00274572" w:rsidRPr="00EC200C" w:rsidRDefault="00274572" w:rsidP="00274572">
            <w:pPr>
              <w:autoSpaceDE w:val="0"/>
              <w:autoSpaceDN w:val="0"/>
              <w:adjustRightInd w:val="0"/>
              <w:spacing w:after="0"/>
              <w:rPr>
                <w:rFonts w:ascii="Times New Roman" w:eastAsia="Calibri" w:hAnsi="Times New Roman" w:cs="Times New Roman"/>
                <w:bCs/>
                <w:sz w:val="24"/>
                <w:szCs w:val="24"/>
              </w:rPr>
            </w:pPr>
            <w:r w:rsidRPr="00EC200C">
              <w:rPr>
                <w:rFonts w:ascii="Times New Roman" w:eastAsia="Calibri" w:hAnsi="Times New Roman" w:cs="Times New Roman"/>
                <w:sz w:val="24"/>
                <w:szCs w:val="24"/>
              </w:rPr>
              <w:t>Zink</w:t>
            </w:r>
          </w:p>
        </w:tc>
        <w:tc>
          <w:tcPr>
            <w:tcW w:w="4788" w:type="dxa"/>
          </w:tcPr>
          <w:p w:rsidR="00274572" w:rsidRPr="00EC200C" w:rsidRDefault="00274572" w:rsidP="00274572">
            <w:pPr>
              <w:autoSpaceDE w:val="0"/>
              <w:autoSpaceDN w:val="0"/>
              <w:adjustRightInd w:val="0"/>
              <w:spacing w:after="0"/>
              <w:jc w:val="center"/>
              <w:rPr>
                <w:rFonts w:ascii="Times New Roman" w:eastAsia="Calibri" w:hAnsi="Times New Roman" w:cs="Times New Roman"/>
                <w:sz w:val="24"/>
                <w:szCs w:val="24"/>
              </w:rPr>
            </w:pPr>
            <w:r w:rsidRPr="00EC200C">
              <w:rPr>
                <w:rFonts w:ascii="Times New Roman" w:eastAsia="Calibri" w:hAnsi="Times New Roman" w:cs="Times New Roman"/>
                <w:sz w:val="24"/>
                <w:szCs w:val="24"/>
              </w:rPr>
              <w:t>30</w:t>
            </w:r>
          </w:p>
        </w:tc>
      </w:tr>
      <w:tr w:rsidR="00274572" w:rsidRPr="00EC200C" w:rsidTr="009429A6">
        <w:trPr>
          <w:trHeight w:val="307"/>
        </w:trPr>
        <w:tc>
          <w:tcPr>
            <w:tcW w:w="4788" w:type="dxa"/>
          </w:tcPr>
          <w:p w:rsidR="00274572" w:rsidRPr="00EC200C" w:rsidRDefault="00274572" w:rsidP="00274572">
            <w:pPr>
              <w:autoSpaceDE w:val="0"/>
              <w:autoSpaceDN w:val="0"/>
              <w:adjustRightInd w:val="0"/>
              <w:spacing w:after="0"/>
              <w:rPr>
                <w:rFonts w:ascii="Times New Roman" w:eastAsia="Calibri" w:hAnsi="Times New Roman" w:cs="Times New Roman"/>
                <w:bCs/>
                <w:sz w:val="24"/>
                <w:szCs w:val="24"/>
              </w:rPr>
            </w:pPr>
            <w:r w:rsidRPr="00EC200C">
              <w:rPr>
                <w:rFonts w:ascii="Times New Roman" w:eastAsia="Calibri" w:hAnsi="Times New Roman" w:cs="Times New Roman"/>
                <w:sz w:val="24"/>
                <w:szCs w:val="24"/>
              </w:rPr>
              <w:t>Merkur</w:t>
            </w:r>
          </w:p>
        </w:tc>
        <w:tc>
          <w:tcPr>
            <w:tcW w:w="4788" w:type="dxa"/>
          </w:tcPr>
          <w:p w:rsidR="00274572" w:rsidRPr="00EC200C" w:rsidRDefault="00274572" w:rsidP="00274572">
            <w:pPr>
              <w:autoSpaceDE w:val="0"/>
              <w:autoSpaceDN w:val="0"/>
              <w:adjustRightInd w:val="0"/>
              <w:spacing w:after="0"/>
              <w:jc w:val="center"/>
              <w:rPr>
                <w:rFonts w:ascii="Times New Roman" w:eastAsia="Calibri" w:hAnsi="Times New Roman" w:cs="Times New Roman"/>
                <w:sz w:val="24"/>
                <w:szCs w:val="24"/>
              </w:rPr>
            </w:pPr>
            <w:r w:rsidRPr="00EC200C">
              <w:rPr>
                <w:rFonts w:ascii="Times New Roman" w:eastAsia="Calibri" w:hAnsi="Times New Roman" w:cs="Times New Roman"/>
                <w:sz w:val="24"/>
                <w:szCs w:val="24"/>
              </w:rPr>
              <w:t>0,1</w:t>
            </w:r>
          </w:p>
        </w:tc>
      </w:tr>
      <w:tr w:rsidR="00274572" w:rsidRPr="00EC200C" w:rsidTr="009429A6">
        <w:tc>
          <w:tcPr>
            <w:tcW w:w="4788" w:type="dxa"/>
          </w:tcPr>
          <w:p w:rsidR="00274572" w:rsidRPr="00EC200C" w:rsidRDefault="00274572" w:rsidP="00274572">
            <w:pPr>
              <w:autoSpaceDE w:val="0"/>
              <w:autoSpaceDN w:val="0"/>
              <w:adjustRightInd w:val="0"/>
              <w:spacing w:after="0"/>
              <w:rPr>
                <w:rFonts w:ascii="Times New Roman" w:eastAsia="Calibri" w:hAnsi="Times New Roman" w:cs="Times New Roman"/>
                <w:bCs/>
                <w:sz w:val="24"/>
                <w:szCs w:val="24"/>
              </w:rPr>
            </w:pPr>
            <w:r w:rsidRPr="00EC200C">
              <w:rPr>
                <w:rFonts w:ascii="Times New Roman" w:eastAsia="Calibri" w:hAnsi="Times New Roman" w:cs="Times New Roman"/>
                <w:sz w:val="24"/>
                <w:szCs w:val="24"/>
              </w:rPr>
              <w:t>Krom</w:t>
            </w:r>
          </w:p>
        </w:tc>
        <w:tc>
          <w:tcPr>
            <w:tcW w:w="4788" w:type="dxa"/>
          </w:tcPr>
          <w:p w:rsidR="00274572" w:rsidRPr="00EC200C" w:rsidRDefault="00274572" w:rsidP="00274572">
            <w:pPr>
              <w:autoSpaceDE w:val="0"/>
              <w:autoSpaceDN w:val="0"/>
              <w:adjustRightInd w:val="0"/>
              <w:spacing w:after="0"/>
              <w:jc w:val="center"/>
              <w:rPr>
                <w:rFonts w:ascii="Times New Roman" w:eastAsia="Calibri" w:hAnsi="Times New Roman" w:cs="Times New Roman"/>
                <w:bCs/>
                <w:sz w:val="24"/>
                <w:szCs w:val="24"/>
              </w:rPr>
            </w:pPr>
          </w:p>
        </w:tc>
      </w:tr>
    </w:tbl>
    <w:p w:rsidR="00274572" w:rsidRPr="00EC200C" w:rsidRDefault="00274572" w:rsidP="00274572">
      <w:pPr>
        <w:spacing w:before="240" w:after="0"/>
        <w:rPr>
          <w:rFonts w:ascii="Times New Roman" w:eastAsia="Calibri" w:hAnsi="Times New Roman" w:cs="Times New Roman"/>
          <w:i/>
          <w:iCs/>
          <w:sz w:val="24"/>
          <w:szCs w:val="24"/>
        </w:rPr>
      </w:pPr>
    </w:p>
    <w:p w:rsidR="00274572" w:rsidRPr="00EC200C" w:rsidRDefault="00274572" w:rsidP="00274572">
      <w:pPr>
        <w:autoSpaceDE w:val="0"/>
        <w:autoSpaceDN w:val="0"/>
        <w:adjustRightInd w:val="0"/>
        <w:spacing w:after="0"/>
        <w:jc w:val="center"/>
        <w:rPr>
          <w:rFonts w:ascii="Times New Roman" w:eastAsia="Calibri" w:hAnsi="Times New Roman" w:cs="Times New Roman"/>
          <w:iCs/>
          <w:sz w:val="24"/>
          <w:szCs w:val="24"/>
        </w:rPr>
      </w:pPr>
      <w:r w:rsidRPr="00EC200C">
        <w:rPr>
          <w:rFonts w:ascii="Times New Roman" w:eastAsia="Calibri" w:hAnsi="Times New Roman" w:cs="Times New Roman"/>
          <w:sz w:val="24"/>
          <w:szCs w:val="24"/>
          <w:lang w:val="en-GB" w:eastAsia="en-GB"/>
        </w:rPr>
        <w:t>ANEKSI</w:t>
      </w:r>
      <w:r w:rsidRPr="00EC200C">
        <w:rPr>
          <w:rFonts w:ascii="Times New Roman" w:eastAsia="Calibri" w:hAnsi="Times New Roman" w:cs="Times New Roman"/>
          <w:iCs/>
          <w:sz w:val="24"/>
          <w:szCs w:val="24"/>
        </w:rPr>
        <w:t xml:space="preserve"> IIA</w:t>
      </w:r>
    </w:p>
    <w:p w:rsidR="00274572" w:rsidRPr="00EC200C" w:rsidRDefault="00274572" w:rsidP="00274572">
      <w:pPr>
        <w:autoSpaceDE w:val="0"/>
        <w:autoSpaceDN w:val="0"/>
        <w:adjustRightInd w:val="0"/>
        <w:spacing w:after="0"/>
        <w:jc w:val="center"/>
        <w:rPr>
          <w:rFonts w:ascii="Times New Roman" w:eastAsia="Calibri" w:hAnsi="Times New Roman" w:cs="Times New Roman"/>
          <w:iCs/>
          <w:sz w:val="24"/>
          <w:szCs w:val="24"/>
        </w:rPr>
      </w:pPr>
    </w:p>
    <w:p w:rsidR="00274572" w:rsidRPr="00EC200C" w:rsidRDefault="00274572" w:rsidP="00274572">
      <w:pPr>
        <w:autoSpaceDE w:val="0"/>
        <w:autoSpaceDN w:val="0"/>
        <w:adjustRightInd w:val="0"/>
        <w:spacing w:after="0"/>
        <w:jc w:val="center"/>
        <w:rPr>
          <w:rFonts w:ascii="Times New Roman" w:eastAsia="Calibri" w:hAnsi="Times New Roman" w:cs="Times New Roman"/>
          <w:bCs/>
          <w:sz w:val="24"/>
          <w:szCs w:val="24"/>
        </w:rPr>
      </w:pPr>
      <w:r w:rsidRPr="00EC200C">
        <w:rPr>
          <w:rFonts w:ascii="Times New Roman" w:eastAsia="Calibri" w:hAnsi="Times New Roman" w:cs="Times New Roman"/>
          <w:bCs/>
          <w:sz w:val="24"/>
          <w:szCs w:val="24"/>
        </w:rPr>
        <w:t>ANALIZAT E LLUMRAVE</w:t>
      </w:r>
    </w:p>
    <w:p w:rsidR="00274572" w:rsidRPr="00EC200C" w:rsidRDefault="00274572" w:rsidP="00274572">
      <w:pPr>
        <w:autoSpaceDE w:val="0"/>
        <w:autoSpaceDN w:val="0"/>
        <w:adjustRightInd w:val="0"/>
        <w:spacing w:after="0"/>
        <w:jc w:val="center"/>
        <w:rPr>
          <w:rFonts w:ascii="Times New Roman" w:eastAsia="Calibri" w:hAnsi="Times New Roman" w:cs="Times New Roman"/>
          <w:sz w:val="24"/>
          <w:szCs w:val="24"/>
        </w:rPr>
      </w:pPr>
    </w:p>
    <w:p w:rsidR="00274572" w:rsidRPr="00EC200C" w:rsidRDefault="00274572" w:rsidP="00274572">
      <w:pPr>
        <w:autoSpaceDE w:val="0"/>
        <w:autoSpaceDN w:val="0"/>
        <w:adjustRightInd w:val="0"/>
        <w:spacing w:after="0"/>
        <w:jc w:val="center"/>
        <w:rPr>
          <w:rFonts w:ascii="Times New Roman" w:eastAsia="Calibri" w:hAnsi="Times New Roman" w:cs="Times New Roman"/>
          <w:i/>
          <w:iCs/>
          <w:sz w:val="24"/>
          <w:szCs w:val="24"/>
        </w:rPr>
      </w:pPr>
    </w:p>
    <w:p w:rsidR="00274572" w:rsidRPr="00EC200C" w:rsidRDefault="00274572" w:rsidP="00274572">
      <w:pPr>
        <w:numPr>
          <w:ilvl w:val="0"/>
          <w:numId w:val="1"/>
        </w:numPr>
        <w:spacing w:before="40" w:after="40" w:line="240" w:lineRule="auto"/>
        <w:jc w:val="both"/>
        <w:rPr>
          <w:rFonts w:ascii="Times New Roman" w:eastAsia="Calibri" w:hAnsi="Times New Roman" w:cs="Times New Roman"/>
          <w:sz w:val="24"/>
          <w:szCs w:val="24"/>
          <w:lang w:val="en-GB" w:eastAsia="en-GB"/>
        </w:rPr>
      </w:pPr>
      <w:r w:rsidRPr="00EC200C">
        <w:rPr>
          <w:rFonts w:ascii="Times New Roman" w:eastAsia="Calibri" w:hAnsi="Times New Roman" w:cs="Times New Roman"/>
          <w:sz w:val="24"/>
          <w:szCs w:val="24"/>
          <w:lang w:val="en-GB" w:eastAsia="en-GB"/>
        </w:rPr>
        <w:t>Si rregull i përgjithshëm, llumrat duhet të analizohen të paktën çdo gjashtë muaj. Kur ndodhin ndryshime në karakteristikat e mbetjeve të ujërave të trajtuara, shpeshtësia e analizave duhet rritur. Në qoftë se rezultatet e analizave nuk ndryshojnë në mënyrë sinjifikative gjatë një viti të plotë, llumrat duhet të analizohen të paktën çdo 12 muaj</w:t>
      </w:r>
      <w:r w:rsidRPr="00EC200C">
        <w:rPr>
          <w:rFonts w:ascii="Times New Roman" w:eastAsia="Calibri" w:hAnsi="Times New Roman" w:cs="Times New Roman"/>
          <w:sz w:val="24"/>
          <w:szCs w:val="24"/>
          <w:vertAlign w:val="superscript"/>
          <w:lang w:val="it-IT" w:eastAsia="en-GB"/>
        </w:rPr>
        <w:footnoteReference w:id="1"/>
      </w:r>
      <w:r w:rsidRPr="00EC200C">
        <w:rPr>
          <w:rFonts w:ascii="Times New Roman" w:eastAsia="Calibri" w:hAnsi="Times New Roman" w:cs="Times New Roman"/>
          <w:sz w:val="24"/>
          <w:szCs w:val="24"/>
          <w:lang w:val="en-GB" w:eastAsia="en-GB"/>
        </w:rPr>
        <w:t>.</w:t>
      </w:r>
    </w:p>
    <w:p w:rsidR="00274572" w:rsidRPr="00EC200C" w:rsidRDefault="00274572" w:rsidP="00274572">
      <w:pPr>
        <w:autoSpaceDE w:val="0"/>
        <w:autoSpaceDN w:val="0"/>
        <w:adjustRightInd w:val="0"/>
        <w:spacing w:after="0"/>
        <w:ind w:left="360"/>
        <w:rPr>
          <w:rFonts w:ascii="Times New Roman" w:eastAsia="Calibri" w:hAnsi="Times New Roman" w:cs="Times New Roman"/>
          <w:sz w:val="24"/>
          <w:szCs w:val="24"/>
          <w:lang w:val="en-GB"/>
        </w:rPr>
      </w:pPr>
    </w:p>
    <w:p w:rsidR="00274572" w:rsidRPr="00EC200C" w:rsidRDefault="00274572" w:rsidP="00274572">
      <w:pPr>
        <w:numPr>
          <w:ilvl w:val="0"/>
          <w:numId w:val="1"/>
        </w:numPr>
        <w:autoSpaceDE w:val="0"/>
        <w:autoSpaceDN w:val="0"/>
        <w:adjustRightInd w:val="0"/>
        <w:spacing w:before="240" w:after="0" w:line="240" w:lineRule="auto"/>
        <w:jc w:val="both"/>
        <w:rPr>
          <w:rFonts w:ascii="Times New Roman" w:eastAsia="Calibri" w:hAnsi="Times New Roman" w:cs="Times New Roman"/>
          <w:sz w:val="24"/>
          <w:szCs w:val="24"/>
          <w:lang w:val="en-GB"/>
        </w:rPr>
      </w:pPr>
      <w:r w:rsidRPr="00EC200C">
        <w:rPr>
          <w:rFonts w:ascii="Times New Roman" w:eastAsia="Calibri" w:hAnsi="Times New Roman" w:cs="Times New Roman"/>
          <w:sz w:val="24"/>
          <w:szCs w:val="24"/>
          <w:lang w:val="en-GB"/>
        </w:rPr>
        <w:t>Në rastin e llumrave të gjeneruara nga impiantet e trajtimit referuar në paragrafin 22 të këtij vendimi,në qoftë se analizat e llumrave nuk janë kryer 12 muaj përpara zbatimit të këtij vendimi, analiza duhet të kryhet brenda 12 muajve të zbatimit të saj, ose kur eshte e përshtatshme brenda 6 muajve të vendimit të autorizimit për përdorim të llumrave në bujqësi nga impiante të tilla. Autoritetet kompetente (AKM) duhet të vendosin për shpeshtësinë e analizave të mëtejshme në bazë të rezultateve të analizes fillestare, të çdo ndryshimi në natyrën e ujërave të mbetur të trajtuar dhe faktorëve të tjerë përkatës.</w:t>
      </w:r>
    </w:p>
    <w:p w:rsidR="00274572" w:rsidRPr="00EC200C" w:rsidRDefault="00274572" w:rsidP="00274572">
      <w:pPr>
        <w:spacing w:before="40" w:after="40"/>
        <w:jc w:val="both"/>
        <w:rPr>
          <w:rFonts w:ascii="Times New Roman" w:eastAsia="Calibri" w:hAnsi="Times New Roman" w:cs="Times New Roman"/>
          <w:sz w:val="24"/>
          <w:szCs w:val="24"/>
          <w:lang w:val="en-GB" w:eastAsia="en-GB"/>
        </w:rPr>
      </w:pPr>
    </w:p>
    <w:p w:rsidR="00274572" w:rsidRPr="00EC200C" w:rsidRDefault="00274572" w:rsidP="00274572">
      <w:pPr>
        <w:numPr>
          <w:ilvl w:val="0"/>
          <w:numId w:val="1"/>
        </w:numPr>
        <w:autoSpaceDE w:val="0"/>
        <w:autoSpaceDN w:val="0"/>
        <w:adjustRightInd w:val="0"/>
        <w:spacing w:before="240" w:after="0" w:line="240" w:lineRule="auto"/>
        <w:jc w:val="both"/>
        <w:rPr>
          <w:rFonts w:ascii="Times New Roman" w:eastAsia="Calibri" w:hAnsi="Times New Roman" w:cs="Times New Roman"/>
          <w:sz w:val="24"/>
          <w:szCs w:val="24"/>
          <w:lang w:val="it-IT"/>
        </w:rPr>
      </w:pPr>
      <w:r w:rsidRPr="00EC200C">
        <w:rPr>
          <w:rFonts w:ascii="Times New Roman" w:eastAsia="Calibri" w:hAnsi="Times New Roman" w:cs="Times New Roman"/>
          <w:sz w:val="24"/>
          <w:szCs w:val="24"/>
          <w:lang w:val="it-IT"/>
        </w:rPr>
        <w:t>Bazuar në dispozitat e paragrafit 4, analiza duhet të mbulojë parametrat e meposhtëm:</w:t>
      </w:r>
    </w:p>
    <w:p w:rsidR="00274572" w:rsidRPr="00EC200C" w:rsidRDefault="00274572" w:rsidP="00274572">
      <w:pPr>
        <w:autoSpaceDE w:val="0"/>
        <w:autoSpaceDN w:val="0"/>
        <w:adjustRightInd w:val="0"/>
        <w:spacing w:after="0"/>
        <w:ind w:left="720"/>
        <w:rPr>
          <w:rFonts w:ascii="Times New Roman" w:eastAsia="Calibri" w:hAnsi="Times New Roman" w:cs="Times New Roman"/>
          <w:sz w:val="24"/>
          <w:szCs w:val="24"/>
          <w:lang w:val="it-IT"/>
        </w:rPr>
      </w:pPr>
    </w:p>
    <w:p w:rsidR="00274572" w:rsidRPr="00EC200C" w:rsidRDefault="00274572" w:rsidP="00274572">
      <w:pPr>
        <w:autoSpaceDE w:val="0"/>
        <w:autoSpaceDN w:val="0"/>
        <w:adjustRightInd w:val="0"/>
        <w:spacing w:after="0"/>
        <w:ind w:left="720"/>
        <w:rPr>
          <w:rFonts w:ascii="Times New Roman" w:eastAsia="Calibri" w:hAnsi="Times New Roman" w:cs="Times New Roman"/>
          <w:sz w:val="24"/>
          <w:szCs w:val="24"/>
        </w:rPr>
      </w:pPr>
      <w:r w:rsidRPr="00EC200C">
        <w:rPr>
          <w:rFonts w:ascii="Times New Roman" w:eastAsia="Calibri" w:hAnsi="Cambria Math" w:cs="Times New Roman"/>
          <w:sz w:val="24"/>
          <w:szCs w:val="24"/>
        </w:rPr>
        <w:t>⎯</w:t>
      </w:r>
      <w:r w:rsidRPr="00EC200C">
        <w:rPr>
          <w:rFonts w:ascii="Times New Roman" w:eastAsia="Calibri" w:hAnsi="Times New Roman" w:cs="Times New Roman"/>
          <w:sz w:val="24"/>
          <w:szCs w:val="24"/>
        </w:rPr>
        <w:t xml:space="preserve"> Lëndë e thatë, lëndë organike;</w:t>
      </w:r>
    </w:p>
    <w:p w:rsidR="00274572" w:rsidRPr="00EC200C" w:rsidRDefault="00274572" w:rsidP="00274572">
      <w:pPr>
        <w:autoSpaceDE w:val="0"/>
        <w:autoSpaceDN w:val="0"/>
        <w:adjustRightInd w:val="0"/>
        <w:spacing w:after="0"/>
        <w:ind w:left="720"/>
        <w:rPr>
          <w:rFonts w:ascii="Times New Roman" w:eastAsia="Calibri" w:hAnsi="Times New Roman" w:cs="Times New Roman"/>
          <w:sz w:val="24"/>
          <w:szCs w:val="24"/>
        </w:rPr>
      </w:pPr>
      <w:r w:rsidRPr="00EC200C">
        <w:rPr>
          <w:rFonts w:ascii="Times New Roman" w:eastAsia="Calibri" w:hAnsi="Cambria Math" w:cs="Times New Roman"/>
          <w:sz w:val="24"/>
          <w:szCs w:val="24"/>
        </w:rPr>
        <w:t>⎯</w:t>
      </w:r>
      <w:r w:rsidRPr="00EC200C">
        <w:rPr>
          <w:rFonts w:ascii="Times New Roman" w:eastAsia="Calibri" w:hAnsi="Times New Roman" w:cs="Times New Roman"/>
          <w:sz w:val="24"/>
          <w:szCs w:val="24"/>
        </w:rPr>
        <w:t xml:space="preserve"> pH;</w:t>
      </w:r>
    </w:p>
    <w:p w:rsidR="00274572" w:rsidRPr="00EC200C" w:rsidRDefault="00274572" w:rsidP="00274572">
      <w:pPr>
        <w:autoSpaceDE w:val="0"/>
        <w:autoSpaceDN w:val="0"/>
        <w:adjustRightInd w:val="0"/>
        <w:spacing w:after="0"/>
        <w:ind w:left="720"/>
        <w:rPr>
          <w:rFonts w:ascii="Times New Roman" w:eastAsia="Calibri" w:hAnsi="Times New Roman" w:cs="Times New Roman"/>
          <w:sz w:val="24"/>
          <w:szCs w:val="24"/>
        </w:rPr>
      </w:pPr>
      <w:r w:rsidRPr="00EC200C">
        <w:rPr>
          <w:rFonts w:ascii="Times New Roman" w:eastAsia="Calibri" w:hAnsi="Cambria Math" w:cs="Times New Roman"/>
          <w:sz w:val="24"/>
          <w:szCs w:val="24"/>
        </w:rPr>
        <w:t>⎯</w:t>
      </w:r>
      <w:r w:rsidRPr="00EC200C">
        <w:rPr>
          <w:rFonts w:ascii="Times New Roman" w:eastAsia="Calibri" w:hAnsi="Times New Roman" w:cs="Times New Roman"/>
          <w:sz w:val="24"/>
          <w:szCs w:val="24"/>
        </w:rPr>
        <w:t xml:space="preserve"> azot dhe fosfor;</w:t>
      </w:r>
    </w:p>
    <w:p w:rsidR="00274572" w:rsidRPr="00EC200C" w:rsidRDefault="00274572" w:rsidP="00274572">
      <w:pPr>
        <w:autoSpaceDE w:val="0"/>
        <w:autoSpaceDN w:val="0"/>
        <w:adjustRightInd w:val="0"/>
        <w:spacing w:after="0"/>
        <w:ind w:left="720"/>
        <w:rPr>
          <w:rFonts w:ascii="Times New Roman" w:eastAsia="Calibri" w:hAnsi="Times New Roman" w:cs="Times New Roman"/>
          <w:sz w:val="24"/>
          <w:szCs w:val="24"/>
        </w:rPr>
      </w:pPr>
      <w:r w:rsidRPr="00EC200C">
        <w:rPr>
          <w:rFonts w:ascii="Times New Roman" w:eastAsia="Calibri" w:hAnsi="Cambria Math" w:cs="Times New Roman"/>
          <w:sz w:val="24"/>
          <w:szCs w:val="24"/>
        </w:rPr>
        <w:t>⎯</w:t>
      </w:r>
      <w:r w:rsidRPr="00EC200C">
        <w:rPr>
          <w:rFonts w:ascii="Times New Roman" w:eastAsia="Calibri" w:hAnsi="Times New Roman" w:cs="Times New Roman"/>
          <w:sz w:val="24"/>
          <w:szCs w:val="24"/>
        </w:rPr>
        <w:t xml:space="preserve"> kadmium, bakër, nikel, plumb, zink, mërkur, krom.</w:t>
      </w:r>
    </w:p>
    <w:p w:rsidR="00274572" w:rsidRPr="00EC200C" w:rsidRDefault="00274572" w:rsidP="00274572">
      <w:pPr>
        <w:spacing w:before="40" w:after="40"/>
        <w:ind w:left="360"/>
        <w:jc w:val="both"/>
        <w:rPr>
          <w:rFonts w:ascii="Times New Roman" w:eastAsia="Calibri" w:hAnsi="Times New Roman" w:cs="Times New Roman"/>
          <w:sz w:val="24"/>
          <w:szCs w:val="24"/>
          <w:lang w:val="en-GB" w:eastAsia="en-GB"/>
        </w:rPr>
      </w:pPr>
    </w:p>
    <w:p w:rsidR="00274572" w:rsidRPr="00EC200C" w:rsidRDefault="00274572" w:rsidP="00274572">
      <w:pPr>
        <w:numPr>
          <w:ilvl w:val="0"/>
          <w:numId w:val="1"/>
        </w:numPr>
        <w:autoSpaceDE w:val="0"/>
        <w:autoSpaceDN w:val="0"/>
        <w:adjustRightInd w:val="0"/>
        <w:spacing w:before="240" w:after="0" w:line="240" w:lineRule="auto"/>
        <w:jc w:val="both"/>
        <w:rPr>
          <w:rFonts w:ascii="Times New Roman" w:eastAsia="Calibri" w:hAnsi="Times New Roman" w:cs="Times New Roman"/>
          <w:sz w:val="24"/>
          <w:szCs w:val="24"/>
          <w:lang w:val="it-IT"/>
        </w:rPr>
      </w:pPr>
      <w:r w:rsidRPr="00EC200C">
        <w:rPr>
          <w:rFonts w:ascii="Times New Roman" w:eastAsia="Calibri" w:hAnsi="Times New Roman" w:cs="Times New Roman"/>
          <w:sz w:val="24"/>
          <w:szCs w:val="24"/>
          <w:lang w:val="it-IT"/>
        </w:rPr>
        <w:t>Në rastin e bakrit, zinkut dhe kromit, kur autoritetit kompetent i është treguar në mënyrëbindëse se ato nuk janëaspak të pranishme ose janë të pranishme në sasi të papërfillshme në ujërat e mbetura të trajtuara nga impiantet e ujërave të ndotura, autoriteti kompetent (AKM) duhet të vendosë mbi shpeshtësinë e analizave të kryera.</w:t>
      </w:r>
    </w:p>
    <w:p w:rsidR="00274572" w:rsidRPr="00EC200C" w:rsidRDefault="00274572" w:rsidP="00274572">
      <w:pPr>
        <w:autoSpaceDE w:val="0"/>
        <w:autoSpaceDN w:val="0"/>
        <w:adjustRightInd w:val="0"/>
        <w:spacing w:after="0"/>
        <w:jc w:val="both"/>
        <w:rPr>
          <w:rFonts w:ascii="Times New Roman" w:eastAsia="Calibri" w:hAnsi="Times New Roman" w:cs="Times New Roman"/>
          <w:sz w:val="24"/>
          <w:szCs w:val="24"/>
          <w:lang w:val="it-IT"/>
        </w:rPr>
      </w:pPr>
    </w:p>
    <w:p w:rsidR="00274572" w:rsidRPr="00EC200C" w:rsidRDefault="00274572" w:rsidP="00274572">
      <w:pPr>
        <w:autoSpaceDE w:val="0"/>
        <w:autoSpaceDN w:val="0"/>
        <w:adjustRightInd w:val="0"/>
        <w:spacing w:after="0"/>
        <w:ind w:left="360"/>
        <w:jc w:val="both"/>
        <w:rPr>
          <w:rFonts w:ascii="Times New Roman" w:eastAsia="Calibri" w:hAnsi="Times New Roman" w:cs="Times New Roman"/>
          <w:sz w:val="24"/>
          <w:szCs w:val="24"/>
          <w:lang w:val="it-IT"/>
        </w:rPr>
      </w:pPr>
    </w:p>
    <w:p w:rsidR="00274572" w:rsidRPr="00EC200C" w:rsidRDefault="00274572" w:rsidP="00274572">
      <w:pPr>
        <w:spacing w:before="40" w:after="40"/>
        <w:jc w:val="center"/>
        <w:rPr>
          <w:rFonts w:ascii="Times New Roman" w:eastAsia="Calibri" w:hAnsi="Times New Roman" w:cs="Times New Roman"/>
          <w:sz w:val="24"/>
          <w:szCs w:val="24"/>
          <w:lang w:val="en-GB" w:eastAsia="en-GB"/>
        </w:rPr>
      </w:pPr>
      <w:r w:rsidRPr="00EC200C">
        <w:rPr>
          <w:rFonts w:ascii="Times New Roman" w:eastAsia="Calibri" w:hAnsi="Times New Roman" w:cs="Times New Roman"/>
          <w:sz w:val="24"/>
          <w:szCs w:val="24"/>
          <w:lang w:val="en-GB" w:eastAsia="en-GB"/>
        </w:rPr>
        <w:t>ANEKSI II B</w:t>
      </w:r>
    </w:p>
    <w:p w:rsidR="00274572" w:rsidRPr="00EC200C" w:rsidRDefault="00274572" w:rsidP="00274572">
      <w:pPr>
        <w:autoSpaceDE w:val="0"/>
        <w:autoSpaceDN w:val="0"/>
        <w:adjustRightInd w:val="0"/>
        <w:spacing w:after="0"/>
        <w:ind w:left="360"/>
        <w:jc w:val="center"/>
        <w:rPr>
          <w:rFonts w:ascii="Times New Roman" w:eastAsia="Calibri" w:hAnsi="Times New Roman" w:cs="Times New Roman"/>
          <w:bCs/>
          <w:sz w:val="24"/>
          <w:szCs w:val="24"/>
        </w:rPr>
      </w:pPr>
      <w:r w:rsidRPr="00EC200C">
        <w:rPr>
          <w:rFonts w:ascii="Times New Roman" w:eastAsia="Calibri" w:hAnsi="Times New Roman" w:cs="Times New Roman"/>
          <w:bCs/>
          <w:sz w:val="24"/>
          <w:szCs w:val="24"/>
        </w:rPr>
        <w:t>ANALIZAT E TOKËS</w:t>
      </w:r>
    </w:p>
    <w:p w:rsidR="00274572" w:rsidRPr="00EC200C" w:rsidRDefault="00274572" w:rsidP="00274572">
      <w:pPr>
        <w:spacing w:before="40" w:after="40"/>
        <w:rPr>
          <w:rFonts w:ascii="Times New Roman" w:eastAsia="Calibri" w:hAnsi="Times New Roman" w:cs="Times New Roman"/>
          <w:sz w:val="24"/>
          <w:szCs w:val="24"/>
          <w:lang w:val="en-GB" w:eastAsia="en-GB"/>
        </w:rPr>
      </w:pPr>
    </w:p>
    <w:p w:rsidR="00274572" w:rsidRPr="00EC200C" w:rsidRDefault="00274572" w:rsidP="00274572">
      <w:pPr>
        <w:numPr>
          <w:ilvl w:val="0"/>
          <w:numId w:val="2"/>
        </w:numPr>
        <w:autoSpaceDE w:val="0"/>
        <w:autoSpaceDN w:val="0"/>
        <w:adjustRightInd w:val="0"/>
        <w:spacing w:before="240" w:after="0" w:line="240" w:lineRule="auto"/>
        <w:jc w:val="both"/>
        <w:rPr>
          <w:rFonts w:ascii="Times New Roman" w:eastAsia="Calibri" w:hAnsi="Times New Roman" w:cs="Times New Roman"/>
          <w:sz w:val="24"/>
          <w:szCs w:val="24"/>
        </w:rPr>
      </w:pPr>
      <w:r w:rsidRPr="00EC200C">
        <w:rPr>
          <w:rFonts w:ascii="Times New Roman" w:eastAsia="Calibri" w:hAnsi="Times New Roman" w:cs="Times New Roman"/>
          <w:sz w:val="24"/>
          <w:szCs w:val="24"/>
        </w:rPr>
        <w:t>Kurdoherë q</w:t>
      </w:r>
      <w:r w:rsidRPr="00EC200C">
        <w:rPr>
          <w:rFonts w:ascii="Times New Roman" w:eastAsia="Calibri" w:hAnsi="Times New Roman" w:cs="Times New Roman"/>
          <w:sz w:val="24"/>
          <w:szCs w:val="24"/>
          <w:lang w:val="it-IT"/>
        </w:rPr>
        <w:t xml:space="preserve">ë </w:t>
      </w:r>
      <w:r w:rsidRPr="00EC200C">
        <w:rPr>
          <w:rFonts w:ascii="Times New Roman" w:eastAsia="Calibri" w:hAnsi="Times New Roman" w:cs="Times New Roman"/>
          <w:sz w:val="24"/>
          <w:szCs w:val="24"/>
        </w:rPr>
        <w:t>do të p</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rdoren llumra t</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ndrysh</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m nga ato të impianteve t</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trajtimit referuar n</w:t>
      </w:r>
      <w:r w:rsidRPr="00EC200C">
        <w:rPr>
          <w:rFonts w:ascii="Times New Roman" w:eastAsia="Calibri" w:hAnsi="Times New Roman" w:cs="Times New Roman"/>
          <w:sz w:val="24"/>
          <w:szCs w:val="24"/>
          <w:lang w:val="it-IT"/>
        </w:rPr>
        <w:t xml:space="preserve">ë </w:t>
      </w:r>
      <w:r w:rsidRPr="00EC200C">
        <w:rPr>
          <w:rFonts w:ascii="Times New Roman" w:eastAsia="Calibri" w:hAnsi="Times New Roman" w:cs="Times New Roman"/>
          <w:sz w:val="24"/>
          <w:szCs w:val="24"/>
        </w:rPr>
        <w:t>paragrafin 22, autoritetet kompetente (QTTB) duhet s</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pari t</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sigurojn</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se metalet e r</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nda si p</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rb</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r</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s t</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tok</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s nuk kalojn</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kufijt</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e vlerave t</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p</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rcaktuara n</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p</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rputhje me Aneksin IA. P</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r k</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t</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q</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llim autoritetet kompetente (QTTB) duhet t</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vendosin se çfar</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analizash duhet t</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kryejn</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duke marr</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parasysh t</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dh</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nat shkencore t</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disponueshme mbi karakteristikat e tokave dhe homogjenitetin e tyre.</w:t>
      </w:r>
    </w:p>
    <w:p w:rsidR="00274572" w:rsidRPr="00EC200C" w:rsidRDefault="00274572" w:rsidP="00274572">
      <w:pPr>
        <w:spacing w:before="40" w:after="40"/>
        <w:ind w:left="360"/>
        <w:jc w:val="both"/>
        <w:rPr>
          <w:rFonts w:ascii="Times New Roman" w:eastAsia="Calibri" w:hAnsi="Times New Roman" w:cs="Times New Roman"/>
          <w:sz w:val="24"/>
          <w:szCs w:val="24"/>
          <w:lang w:val="en-GB" w:eastAsia="en-GB"/>
        </w:rPr>
      </w:pPr>
    </w:p>
    <w:p w:rsidR="00274572" w:rsidRPr="00EC200C" w:rsidRDefault="00274572" w:rsidP="00274572">
      <w:pPr>
        <w:numPr>
          <w:ilvl w:val="0"/>
          <w:numId w:val="2"/>
        </w:numPr>
        <w:autoSpaceDE w:val="0"/>
        <w:autoSpaceDN w:val="0"/>
        <w:adjustRightInd w:val="0"/>
        <w:spacing w:before="240" w:after="0" w:line="240" w:lineRule="auto"/>
        <w:jc w:val="both"/>
        <w:rPr>
          <w:rFonts w:ascii="Times New Roman" w:eastAsia="Calibri" w:hAnsi="Times New Roman" w:cs="Times New Roman"/>
          <w:sz w:val="24"/>
          <w:szCs w:val="24"/>
        </w:rPr>
      </w:pPr>
      <w:r w:rsidRPr="00EC200C">
        <w:rPr>
          <w:rFonts w:ascii="Times New Roman" w:eastAsia="Calibri" w:hAnsi="Times New Roman" w:cs="Times New Roman"/>
          <w:sz w:val="24"/>
          <w:szCs w:val="24"/>
        </w:rPr>
        <w:t>Autoritetet kompetente (QTTB) duhet t</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vendosin p</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r shpesht</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sin</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e analizave t</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mëtejshme, duke marr</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parasysh p</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rmbajtjen e metaleve n</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tok</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p</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rpara p</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rdorimit t</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llumrave, sasin</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dhe p</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rb</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rjen e llumrave t</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p</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rdorur dhe çdo faktor tjet</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r n</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lidhje me t</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w:t>
      </w:r>
    </w:p>
    <w:p w:rsidR="00274572" w:rsidRPr="00EC200C" w:rsidRDefault="00274572" w:rsidP="00274572">
      <w:pPr>
        <w:spacing w:before="40" w:after="40"/>
        <w:jc w:val="both"/>
        <w:rPr>
          <w:rFonts w:ascii="Times New Roman" w:eastAsia="Calibri" w:hAnsi="Times New Roman" w:cs="Times New Roman"/>
          <w:sz w:val="24"/>
          <w:szCs w:val="24"/>
          <w:lang w:val="en-GB" w:eastAsia="en-GB"/>
        </w:rPr>
      </w:pPr>
    </w:p>
    <w:p w:rsidR="00274572" w:rsidRPr="00EC200C" w:rsidRDefault="00274572" w:rsidP="00274572">
      <w:pPr>
        <w:numPr>
          <w:ilvl w:val="0"/>
          <w:numId w:val="2"/>
        </w:numPr>
        <w:autoSpaceDE w:val="0"/>
        <w:autoSpaceDN w:val="0"/>
        <w:adjustRightInd w:val="0"/>
        <w:spacing w:before="240" w:after="0" w:line="240" w:lineRule="auto"/>
        <w:jc w:val="both"/>
        <w:rPr>
          <w:rFonts w:ascii="Times New Roman" w:eastAsia="Calibri" w:hAnsi="Times New Roman" w:cs="Times New Roman"/>
          <w:sz w:val="24"/>
          <w:szCs w:val="24"/>
        </w:rPr>
      </w:pPr>
      <w:r w:rsidRPr="00EC200C">
        <w:rPr>
          <w:rFonts w:ascii="Times New Roman" w:eastAsia="Calibri" w:hAnsi="Times New Roman" w:cs="Times New Roman"/>
          <w:sz w:val="24"/>
          <w:szCs w:val="24"/>
        </w:rPr>
        <w:t>Analizat duhet t</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mbulojn</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parametrat e meposht</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m:</w:t>
      </w:r>
    </w:p>
    <w:p w:rsidR="00274572" w:rsidRPr="00EC200C" w:rsidRDefault="00274572" w:rsidP="00274572">
      <w:pPr>
        <w:autoSpaceDE w:val="0"/>
        <w:autoSpaceDN w:val="0"/>
        <w:adjustRightInd w:val="0"/>
        <w:spacing w:after="0"/>
        <w:rPr>
          <w:rFonts w:ascii="Times New Roman" w:eastAsia="Calibri" w:hAnsi="Times New Roman" w:cs="Times New Roman"/>
          <w:sz w:val="24"/>
          <w:szCs w:val="24"/>
        </w:rPr>
      </w:pPr>
    </w:p>
    <w:p w:rsidR="00274572" w:rsidRPr="00EC200C" w:rsidRDefault="00274572" w:rsidP="00274572">
      <w:pPr>
        <w:autoSpaceDE w:val="0"/>
        <w:autoSpaceDN w:val="0"/>
        <w:adjustRightInd w:val="0"/>
        <w:spacing w:after="0"/>
        <w:ind w:left="720"/>
        <w:rPr>
          <w:rFonts w:ascii="Times New Roman" w:eastAsia="Calibri" w:hAnsi="Times New Roman" w:cs="Times New Roman"/>
          <w:sz w:val="24"/>
          <w:szCs w:val="24"/>
        </w:rPr>
      </w:pPr>
      <w:r w:rsidRPr="00EC200C">
        <w:rPr>
          <w:rFonts w:ascii="Times New Roman" w:eastAsia="Calibri" w:hAnsi="Cambria Math" w:cs="Times New Roman"/>
          <w:sz w:val="24"/>
          <w:szCs w:val="24"/>
        </w:rPr>
        <w:t>⎯</w:t>
      </w:r>
      <w:r w:rsidRPr="00EC200C">
        <w:rPr>
          <w:rFonts w:ascii="Times New Roman" w:eastAsia="Calibri" w:hAnsi="Times New Roman" w:cs="Times New Roman"/>
          <w:sz w:val="24"/>
          <w:szCs w:val="24"/>
        </w:rPr>
        <w:t xml:space="preserve"> pH</w:t>
      </w:r>
    </w:p>
    <w:p w:rsidR="00274572" w:rsidRPr="00EC200C" w:rsidRDefault="00274572" w:rsidP="00274572">
      <w:pPr>
        <w:autoSpaceDE w:val="0"/>
        <w:autoSpaceDN w:val="0"/>
        <w:adjustRightInd w:val="0"/>
        <w:spacing w:after="0"/>
        <w:ind w:left="720"/>
        <w:rPr>
          <w:rFonts w:ascii="Times New Roman" w:eastAsia="Calibri" w:hAnsi="Times New Roman" w:cs="Times New Roman"/>
          <w:sz w:val="24"/>
          <w:szCs w:val="24"/>
        </w:rPr>
      </w:pPr>
      <w:r w:rsidRPr="00EC200C">
        <w:rPr>
          <w:rFonts w:ascii="Times New Roman" w:eastAsia="Calibri" w:hAnsi="Cambria Math" w:cs="Times New Roman"/>
          <w:sz w:val="24"/>
          <w:szCs w:val="24"/>
        </w:rPr>
        <w:t>⎯</w:t>
      </w:r>
      <w:r w:rsidRPr="00EC200C">
        <w:rPr>
          <w:rFonts w:ascii="Times New Roman" w:eastAsia="Calibri" w:hAnsi="Times New Roman" w:cs="Times New Roman"/>
          <w:sz w:val="24"/>
          <w:szCs w:val="24"/>
        </w:rPr>
        <w:t xml:space="preserve"> kadmium, bak</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r, nikel, plumb, zink, m</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rkur, krom.</w:t>
      </w:r>
    </w:p>
    <w:p w:rsidR="00274572" w:rsidRPr="00EC200C" w:rsidRDefault="00274572" w:rsidP="00274572">
      <w:pPr>
        <w:spacing w:before="240" w:after="0"/>
        <w:jc w:val="both"/>
        <w:rPr>
          <w:rFonts w:ascii="Times New Roman" w:eastAsia="Calibri" w:hAnsi="Times New Roman" w:cs="Times New Roman"/>
          <w:sz w:val="24"/>
          <w:szCs w:val="24"/>
          <w:lang w:val="en-GB" w:eastAsia="en-GB"/>
        </w:rPr>
      </w:pPr>
    </w:p>
    <w:p w:rsidR="00274572" w:rsidRPr="00EC200C" w:rsidRDefault="00274572" w:rsidP="00274572">
      <w:pPr>
        <w:spacing w:before="240" w:after="0"/>
        <w:jc w:val="both"/>
        <w:rPr>
          <w:rFonts w:ascii="Times New Roman" w:eastAsia="Calibri" w:hAnsi="Times New Roman" w:cs="Times New Roman"/>
          <w:sz w:val="24"/>
          <w:szCs w:val="24"/>
          <w:lang w:val="en-GB" w:eastAsia="en-GB"/>
        </w:rPr>
      </w:pPr>
    </w:p>
    <w:p w:rsidR="00274572" w:rsidRPr="00EC200C" w:rsidRDefault="00274572" w:rsidP="00274572">
      <w:pPr>
        <w:spacing w:before="240" w:after="0"/>
        <w:jc w:val="both"/>
        <w:rPr>
          <w:rFonts w:ascii="Times New Roman" w:eastAsia="Calibri" w:hAnsi="Times New Roman" w:cs="Times New Roman"/>
          <w:sz w:val="24"/>
          <w:szCs w:val="24"/>
          <w:lang w:val="en-GB" w:eastAsia="en-GB"/>
        </w:rPr>
      </w:pPr>
    </w:p>
    <w:p w:rsidR="00274572" w:rsidRPr="00EC200C" w:rsidRDefault="00274572" w:rsidP="00274572">
      <w:pPr>
        <w:spacing w:before="240" w:after="0"/>
        <w:jc w:val="both"/>
        <w:rPr>
          <w:rFonts w:ascii="Times New Roman" w:eastAsia="Calibri" w:hAnsi="Times New Roman" w:cs="Times New Roman"/>
          <w:sz w:val="24"/>
          <w:szCs w:val="24"/>
          <w:lang w:val="en-GB" w:eastAsia="en-GB"/>
        </w:rPr>
      </w:pPr>
    </w:p>
    <w:p w:rsidR="00274572" w:rsidRPr="00EC200C" w:rsidRDefault="00274572" w:rsidP="00274572">
      <w:pPr>
        <w:spacing w:before="240" w:after="0"/>
        <w:jc w:val="both"/>
        <w:rPr>
          <w:rFonts w:ascii="Times New Roman" w:eastAsia="Calibri" w:hAnsi="Times New Roman" w:cs="Times New Roman"/>
          <w:sz w:val="24"/>
          <w:szCs w:val="24"/>
          <w:lang w:val="en-GB" w:eastAsia="en-GB"/>
        </w:rPr>
      </w:pPr>
    </w:p>
    <w:p w:rsidR="00274572" w:rsidRPr="00EC200C" w:rsidRDefault="00274572" w:rsidP="00274572">
      <w:pPr>
        <w:spacing w:before="40" w:after="40"/>
        <w:jc w:val="center"/>
        <w:rPr>
          <w:rFonts w:ascii="Times New Roman" w:eastAsia="Calibri" w:hAnsi="Times New Roman" w:cs="Times New Roman"/>
          <w:sz w:val="24"/>
          <w:szCs w:val="24"/>
          <w:lang w:val="it-IT" w:eastAsia="en-GB"/>
        </w:rPr>
      </w:pPr>
      <w:r w:rsidRPr="00EC200C">
        <w:rPr>
          <w:rFonts w:ascii="Times New Roman" w:eastAsia="Calibri" w:hAnsi="Times New Roman" w:cs="Times New Roman"/>
          <w:sz w:val="24"/>
          <w:szCs w:val="24"/>
          <w:lang w:val="it-IT" w:eastAsia="en-GB"/>
        </w:rPr>
        <w:lastRenderedPageBreak/>
        <w:t>ANEKSI II C</w:t>
      </w:r>
    </w:p>
    <w:p w:rsidR="00274572" w:rsidRPr="00EC200C" w:rsidRDefault="00274572" w:rsidP="00274572">
      <w:pPr>
        <w:spacing w:before="40" w:after="40"/>
        <w:jc w:val="center"/>
        <w:rPr>
          <w:rFonts w:ascii="Times New Roman" w:eastAsia="Calibri" w:hAnsi="Times New Roman" w:cs="Times New Roman"/>
          <w:sz w:val="24"/>
          <w:szCs w:val="24"/>
          <w:lang w:val="it-IT" w:eastAsia="en-GB"/>
        </w:rPr>
      </w:pPr>
      <w:r w:rsidRPr="00EC200C">
        <w:rPr>
          <w:rFonts w:ascii="Times New Roman" w:eastAsia="Calibri" w:hAnsi="Times New Roman" w:cs="Times New Roman"/>
          <w:sz w:val="24"/>
          <w:szCs w:val="24"/>
          <w:lang w:val="it-IT" w:eastAsia="en-GB"/>
        </w:rPr>
        <w:t>MOSTRAT DHE METODAT E ANALIZAVE</w:t>
      </w:r>
    </w:p>
    <w:p w:rsidR="00274572" w:rsidRPr="00EC200C" w:rsidRDefault="00274572" w:rsidP="00274572">
      <w:pPr>
        <w:spacing w:before="40" w:after="40"/>
        <w:jc w:val="center"/>
        <w:rPr>
          <w:rFonts w:ascii="Times New Roman" w:eastAsia="Calibri" w:hAnsi="Times New Roman" w:cs="Times New Roman"/>
          <w:sz w:val="24"/>
          <w:szCs w:val="24"/>
          <w:lang w:val="it-IT" w:eastAsia="en-GB"/>
        </w:rPr>
      </w:pPr>
    </w:p>
    <w:p w:rsidR="00274572" w:rsidRPr="00EC200C" w:rsidRDefault="00274572" w:rsidP="00274572">
      <w:pPr>
        <w:numPr>
          <w:ilvl w:val="1"/>
          <w:numId w:val="3"/>
        </w:numPr>
        <w:spacing w:before="40" w:after="40" w:line="240" w:lineRule="auto"/>
        <w:jc w:val="both"/>
        <w:rPr>
          <w:rFonts w:ascii="Times New Roman" w:eastAsia="Calibri" w:hAnsi="Times New Roman" w:cs="Times New Roman"/>
          <w:sz w:val="24"/>
          <w:szCs w:val="24"/>
          <w:lang w:val="en-GB" w:eastAsia="en-GB"/>
        </w:rPr>
      </w:pPr>
      <w:r w:rsidRPr="00EC200C">
        <w:rPr>
          <w:rFonts w:ascii="Times New Roman" w:eastAsia="Calibri" w:hAnsi="Times New Roman" w:cs="Times New Roman"/>
          <w:sz w:val="24"/>
          <w:szCs w:val="24"/>
          <w:lang w:val="en-GB" w:eastAsia="en-GB"/>
        </w:rPr>
        <w:t>Mostrat e tokës</w:t>
      </w:r>
    </w:p>
    <w:p w:rsidR="00274572" w:rsidRPr="00EC200C" w:rsidRDefault="00274572" w:rsidP="00274572">
      <w:pPr>
        <w:spacing w:before="40" w:after="40"/>
        <w:jc w:val="both"/>
        <w:rPr>
          <w:rFonts w:ascii="Times New Roman" w:eastAsia="Calibri" w:hAnsi="Times New Roman" w:cs="Times New Roman"/>
          <w:sz w:val="24"/>
          <w:szCs w:val="24"/>
          <w:lang w:val="en-GB" w:eastAsia="en-GB"/>
        </w:rPr>
      </w:pPr>
    </w:p>
    <w:p w:rsidR="00274572" w:rsidRPr="00EC200C" w:rsidRDefault="00274572" w:rsidP="00274572">
      <w:pPr>
        <w:autoSpaceDE w:val="0"/>
        <w:autoSpaceDN w:val="0"/>
        <w:adjustRightInd w:val="0"/>
        <w:spacing w:after="0"/>
        <w:jc w:val="both"/>
        <w:rPr>
          <w:rFonts w:ascii="Times New Roman" w:eastAsia="Calibri" w:hAnsi="Times New Roman" w:cs="Times New Roman"/>
          <w:sz w:val="24"/>
          <w:szCs w:val="24"/>
        </w:rPr>
      </w:pPr>
      <w:r w:rsidRPr="00EC200C">
        <w:rPr>
          <w:rFonts w:ascii="Times New Roman" w:eastAsia="Calibri" w:hAnsi="Times New Roman" w:cs="Times New Roman"/>
          <w:sz w:val="24"/>
          <w:szCs w:val="24"/>
        </w:rPr>
        <w:t>Mostrat përfaqësuese të tokës për analizë duhet normalisht të përgatiten nga përzierja e 25 mostra ndihmëse t</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marra nëpërmjet sondës mbi nj</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sip</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rfaqe më të vogël ose të barabartë me 5 hektar</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qëështëshfrytëzuar në mënyrë të njëllojtë. Mostrat duhet t</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merren n</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nj</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xml:space="preserve"> thell</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si prej 25 cm, me përjashtim të rasteve kur thellësia e shtresës së punueshme të tokës është më pak se kjo vlerë; megjithat</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rPr>
        <w:t>, thellësia e marrjes së mostrave në rastin e fundit nuk duhet të jetë më pak se 10 cm.</w:t>
      </w:r>
    </w:p>
    <w:p w:rsidR="00274572" w:rsidRPr="00EC200C" w:rsidRDefault="00274572" w:rsidP="00274572">
      <w:pPr>
        <w:spacing w:before="40" w:after="40"/>
        <w:jc w:val="both"/>
        <w:rPr>
          <w:rFonts w:ascii="Times New Roman" w:eastAsia="Calibri" w:hAnsi="Times New Roman" w:cs="Times New Roman"/>
          <w:sz w:val="24"/>
          <w:szCs w:val="24"/>
          <w:lang w:val="en-GB" w:eastAsia="en-GB"/>
        </w:rPr>
      </w:pPr>
    </w:p>
    <w:p w:rsidR="00274572" w:rsidRPr="00EC200C" w:rsidRDefault="00274572" w:rsidP="00274572">
      <w:pPr>
        <w:numPr>
          <w:ilvl w:val="1"/>
          <w:numId w:val="3"/>
        </w:numPr>
        <w:spacing w:before="40" w:after="40" w:line="240" w:lineRule="auto"/>
        <w:jc w:val="both"/>
        <w:rPr>
          <w:rFonts w:ascii="Times New Roman" w:eastAsia="Calibri" w:hAnsi="Times New Roman" w:cs="Times New Roman"/>
          <w:sz w:val="24"/>
          <w:szCs w:val="24"/>
          <w:lang w:val="en-GB" w:eastAsia="en-GB"/>
        </w:rPr>
      </w:pPr>
      <w:r w:rsidRPr="00EC200C">
        <w:rPr>
          <w:rFonts w:ascii="Times New Roman" w:eastAsia="Calibri" w:hAnsi="Times New Roman" w:cs="Times New Roman"/>
          <w:sz w:val="24"/>
          <w:szCs w:val="24"/>
          <w:lang w:val="en-GB" w:eastAsia="en-GB"/>
        </w:rPr>
        <w:t>Mostrat e llumrave</w:t>
      </w:r>
    </w:p>
    <w:p w:rsidR="00274572" w:rsidRPr="00EC200C" w:rsidRDefault="00274572" w:rsidP="00274572">
      <w:pPr>
        <w:spacing w:before="40" w:after="40"/>
        <w:jc w:val="both"/>
        <w:rPr>
          <w:rFonts w:ascii="Times New Roman" w:eastAsia="Calibri" w:hAnsi="Times New Roman" w:cs="Times New Roman"/>
          <w:sz w:val="24"/>
          <w:szCs w:val="24"/>
          <w:lang w:val="en-GB" w:eastAsia="en-GB"/>
        </w:rPr>
      </w:pPr>
    </w:p>
    <w:p w:rsidR="00274572" w:rsidRPr="00EC200C" w:rsidRDefault="00274572" w:rsidP="00274572">
      <w:pPr>
        <w:autoSpaceDE w:val="0"/>
        <w:autoSpaceDN w:val="0"/>
        <w:adjustRightInd w:val="0"/>
        <w:spacing w:after="0"/>
        <w:jc w:val="both"/>
        <w:rPr>
          <w:rFonts w:ascii="Times New Roman" w:eastAsia="Calibri" w:hAnsi="Times New Roman" w:cs="Times New Roman"/>
          <w:sz w:val="24"/>
          <w:szCs w:val="24"/>
          <w:lang w:val="en-GB"/>
        </w:rPr>
      </w:pPr>
      <w:r w:rsidRPr="00EC200C">
        <w:rPr>
          <w:rFonts w:ascii="Times New Roman" w:eastAsia="Calibri" w:hAnsi="Times New Roman" w:cs="Times New Roman"/>
          <w:sz w:val="24"/>
          <w:szCs w:val="24"/>
          <w:lang w:val="en-GB"/>
        </w:rPr>
        <w:t>Mostrat e llumrave duhet t</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lang w:val="en-GB"/>
        </w:rPr>
        <w:t xml:space="preserve"> merren pas trajtimit, por p</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lang w:val="en-GB"/>
        </w:rPr>
        <w:t>rpara dor</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lang w:val="en-GB"/>
        </w:rPr>
        <w:t>zimit tek p</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lang w:val="en-GB"/>
        </w:rPr>
        <w:t>rdoruesi dhe duhet t</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lang w:val="en-GB"/>
        </w:rPr>
        <w:t xml:space="preserve"> jet</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lang w:val="en-GB"/>
        </w:rPr>
        <w:t xml:space="preserve"> p</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lang w:val="en-GB"/>
        </w:rPr>
        <w:t>rfaqesuese e llumrave t</w:t>
      </w:r>
      <w:r w:rsidRPr="00EC200C">
        <w:rPr>
          <w:rFonts w:ascii="Times New Roman" w:eastAsia="Calibri" w:hAnsi="Times New Roman" w:cs="Times New Roman"/>
          <w:sz w:val="24"/>
          <w:szCs w:val="24"/>
          <w:lang w:val="it-IT"/>
        </w:rPr>
        <w:t>ë</w:t>
      </w:r>
      <w:r w:rsidRPr="00EC200C">
        <w:rPr>
          <w:rFonts w:ascii="Times New Roman" w:eastAsia="Calibri" w:hAnsi="Times New Roman" w:cs="Times New Roman"/>
          <w:sz w:val="24"/>
          <w:szCs w:val="24"/>
          <w:lang w:val="en-GB"/>
        </w:rPr>
        <w:t xml:space="preserve"> prodhuara.</w:t>
      </w:r>
    </w:p>
    <w:p w:rsidR="00274572" w:rsidRPr="00EC200C" w:rsidRDefault="00274572" w:rsidP="00274572">
      <w:pPr>
        <w:spacing w:before="40" w:after="40"/>
        <w:jc w:val="both"/>
        <w:rPr>
          <w:rFonts w:ascii="Times New Roman" w:eastAsia="Calibri" w:hAnsi="Times New Roman" w:cs="Times New Roman"/>
          <w:sz w:val="24"/>
          <w:szCs w:val="24"/>
          <w:lang w:val="en-GB" w:eastAsia="en-GB"/>
        </w:rPr>
      </w:pPr>
    </w:p>
    <w:p w:rsidR="00274572" w:rsidRPr="00EC200C" w:rsidRDefault="00274572" w:rsidP="00274572">
      <w:pPr>
        <w:numPr>
          <w:ilvl w:val="1"/>
          <w:numId w:val="3"/>
        </w:numPr>
        <w:spacing w:before="40" w:after="40" w:line="240" w:lineRule="auto"/>
        <w:jc w:val="both"/>
        <w:rPr>
          <w:rFonts w:ascii="Times New Roman" w:eastAsia="Calibri" w:hAnsi="Times New Roman" w:cs="Times New Roman"/>
          <w:sz w:val="24"/>
          <w:szCs w:val="24"/>
          <w:lang w:val="en-GB" w:eastAsia="en-GB"/>
        </w:rPr>
      </w:pPr>
      <w:r w:rsidRPr="00EC200C">
        <w:rPr>
          <w:rFonts w:ascii="Times New Roman" w:eastAsia="Calibri" w:hAnsi="Times New Roman" w:cs="Times New Roman"/>
          <w:sz w:val="24"/>
          <w:szCs w:val="24"/>
          <w:lang w:val="en-GB" w:eastAsia="en-GB"/>
        </w:rPr>
        <w:t>Metodat e analizave</w:t>
      </w:r>
    </w:p>
    <w:p w:rsidR="00274572" w:rsidRPr="00EC200C" w:rsidRDefault="00274572" w:rsidP="00274572">
      <w:pPr>
        <w:autoSpaceDE w:val="0"/>
        <w:autoSpaceDN w:val="0"/>
        <w:adjustRightInd w:val="0"/>
        <w:spacing w:after="0"/>
        <w:jc w:val="both"/>
        <w:rPr>
          <w:rFonts w:ascii="Times New Roman" w:eastAsia="Calibri" w:hAnsi="Times New Roman" w:cs="Times New Roman"/>
          <w:sz w:val="24"/>
          <w:szCs w:val="24"/>
        </w:rPr>
      </w:pPr>
    </w:p>
    <w:p w:rsidR="00274572" w:rsidRPr="00EC200C" w:rsidRDefault="00274572" w:rsidP="00274572">
      <w:pPr>
        <w:autoSpaceDE w:val="0"/>
        <w:autoSpaceDN w:val="0"/>
        <w:adjustRightInd w:val="0"/>
        <w:spacing w:after="0"/>
        <w:jc w:val="both"/>
        <w:rPr>
          <w:rFonts w:ascii="Times New Roman" w:eastAsia="Calibri" w:hAnsi="Times New Roman" w:cs="Times New Roman"/>
          <w:sz w:val="24"/>
          <w:szCs w:val="24"/>
          <w:lang w:val="it-IT"/>
        </w:rPr>
      </w:pPr>
      <w:r w:rsidRPr="00EC200C">
        <w:rPr>
          <w:rFonts w:ascii="Times New Roman" w:eastAsia="Calibri" w:hAnsi="Times New Roman" w:cs="Times New Roman"/>
          <w:sz w:val="24"/>
          <w:szCs w:val="24"/>
          <w:lang w:val="it-IT"/>
        </w:rPr>
        <w:t>Analiza e metaleve të rënda bëhet pas tretjes në acid të fortë. Metoda e referencës së analizës duhet të jetë ajo e spektroskopisë së absorbimit atomik.Kufiri i dedektimit për çdo metal nuk duhet të jetë më i madh se 10% i kufirit të vlerës së duhur.</w:t>
      </w:r>
    </w:p>
    <w:p w:rsidR="00274572" w:rsidRPr="00EC200C" w:rsidRDefault="00274572" w:rsidP="00274572">
      <w:pPr>
        <w:spacing w:before="240" w:after="0"/>
        <w:jc w:val="both"/>
        <w:rPr>
          <w:rFonts w:ascii="Times New Roman" w:eastAsia="Calibri" w:hAnsi="Times New Roman" w:cs="Times New Roman"/>
          <w:i/>
          <w:iCs/>
          <w:sz w:val="24"/>
          <w:szCs w:val="24"/>
          <w:lang w:val="it-IT"/>
        </w:rPr>
      </w:pPr>
    </w:p>
    <w:sectPr w:rsidR="00274572" w:rsidRPr="00EC20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F64" w:rsidRDefault="00801F64" w:rsidP="00274572">
      <w:pPr>
        <w:spacing w:after="0" w:line="240" w:lineRule="auto"/>
      </w:pPr>
      <w:r>
        <w:separator/>
      </w:r>
    </w:p>
  </w:endnote>
  <w:endnote w:type="continuationSeparator" w:id="0">
    <w:p w:rsidR="00801F64" w:rsidRDefault="00801F64" w:rsidP="00274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F64" w:rsidRDefault="00801F64" w:rsidP="00274572">
      <w:pPr>
        <w:spacing w:after="0" w:line="240" w:lineRule="auto"/>
      </w:pPr>
      <w:r>
        <w:separator/>
      </w:r>
    </w:p>
  </w:footnote>
  <w:footnote w:type="continuationSeparator" w:id="0">
    <w:p w:rsidR="00801F64" w:rsidRDefault="00801F64" w:rsidP="00274572">
      <w:pPr>
        <w:spacing w:after="0" w:line="240" w:lineRule="auto"/>
      </w:pPr>
      <w:r>
        <w:continuationSeparator/>
      </w:r>
    </w:p>
  </w:footnote>
  <w:footnote w:id="1">
    <w:p w:rsidR="00274572" w:rsidRPr="004612BB" w:rsidRDefault="00274572" w:rsidP="00274572">
      <w:pPr>
        <w:pStyle w:val="FootnoteText"/>
        <w:jc w:val="both"/>
        <w:rPr>
          <w:sz w:val="18"/>
          <w:szCs w:val="18"/>
          <w:lang w:val="it-IT"/>
        </w:rPr>
      </w:pPr>
      <w:r w:rsidRPr="004612BB">
        <w:rPr>
          <w:sz w:val="18"/>
          <w:szCs w:val="18"/>
          <w:lang w:val="it-IT"/>
        </w:rPr>
        <w:t xml:space="preserve">Shpeshtësia e analizave varet nga kapaciteti i impiantit të trajtimit të ujërave të ndotura. Për impiantet e vogla të trajtimit të ujërave të ndotura shpeshtësia është një herë në vit. Për impiantet e trajtimit të ujërave të ndotura mbi 500 PE shpeshtësia është dy herë në vit.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E530C"/>
    <w:multiLevelType w:val="hybridMultilevel"/>
    <w:tmpl w:val="0D0858E8"/>
    <w:lvl w:ilvl="0" w:tplc="0409000F">
      <w:start w:val="1"/>
      <w:numFmt w:val="decimal"/>
      <w:lvlText w:val="%1."/>
      <w:lvlJc w:val="left"/>
      <w:pPr>
        <w:ind w:left="720" w:hanging="360"/>
      </w:pPr>
    </w:lvl>
    <w:lvl w:ilvl="1" w:tplc="0409000F">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D7F57"/>
    <w:multiLevelType w:val="hybridMultilevel"/>
    <w:tmpl w:val="D4A6A4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6867811"/>
    <w:multiLevelType w:val="hybridMultilevel"/>
    <w:tmpl w:val="D4A6A4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5B9"/>
    <w:rsid w:val="00274572"/>
    <w:rsid w:val="002902F8"/>
    <w:rsid w:val="002F6B2F"/>
    <w:rsid w:val="00300B2D"/>
    <w:rsid w:val="0056447F"/>
    <w:rsid w:val="005D45B9"/>
    <w:rsid w:val="00664DA8"/>
    <w:rsid w:val="00682208"/>
    <w:rsid w:val="007005D5"/>
    <w:rsid w:val="00801F64"/>
    <w:rsid w:val="00A2307A"/>
    <w:rsid w:val="00C20322"/>
    <w:rsid w:val="00CB56C3"/>
    <w:rsid w:val="00D5522C"/>
    <w:rsid w:val="00EC2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FF6AB8-4AAF-43ED-B530-E1EA36A4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745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457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25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12</Pages>
  <Words>2550</Words>
  <Characters>14536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Polikron.Horeshka</dc:creator>
  <cp:lastModifiedBy>Polikron Horeshka</cp:lastModifiedBy>
  <cp:revision>5</cp:revision>
  <dcterms:created xsi:type="dcterms:W3CDTF">2015-02-19T09:09:00Z</dcterms:created>
  <dcterms:modified xsi:type="dcterms:W3CDTF">2018-08-27T08:35:00Z</dcterms:modified>
</cp:coreProperties>
</file>