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93" w:rsidRPr="005B7AC3" w:rsidRDefault="00507D93" w:rsidP="00636FE8">
      <w:pPr>
        <w:spacing w:after="0" w:line="240" w:lineRule="auto"/>
        <w:jc w:val="center"/>
        <w:outlineLvl w:val="0"/>
        <w:rPr>
          <w:rFonts w:ascii="Times New Roman" w:eastAsia="Times New Roman" w:hAnsi="Times New Roman" w:cs="Times New Roman"/>
          <w:sz w:val="24"/>
          <w:szCs w:val="24"/>
          <w:lang w:val="pt-BR"/>
        </w:rPr>
      </w:pPr>
      <w:r w:rsidRPr="005B7AC3">
        <w:rPr>
          <w:rFonts w:ascii="Cambria" w:eastAsia="Cambria" w:hAnsi="Cambria" w:cs="Times New Roman"/>
          <w:noProof/>
          <w:sz w:val="24"/>
          <w:szCs w:val="24"/>
        </w:rPr>
        <w:drawing>
          <wp:anchor distT="0" distB="0" distL="114300" distR="114300" simplePos="0" relativeHeight="251659776" behindDoc="0" locked="0" layoutInCell="1" allowOverlap="1">
            <wp:simplePos x="0" y="0"/>
            <wp:positionH relativeFrom="page">
              <wp:align>left</wp:align>
            </wp:positionH>
            <wp:positionV relativeFrom="margin">
              <wp:posOffset>-876300</wp:posOffset>
            </wp:positionV>
            <wp:extent cx="7560945" cy="1352550"/>
            <wp:effectExtent l="0" t="0" r="1905" b="0"/>
            <wp:wrapSquare wrapText="bothSides"/>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er me koke Keshilli i ministrave-1-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pic:spPr>
                </pic:pic>
              </a:graphicData>
            </a:graphic>
          </wp:anchor>
        </w:drawing>
      </w:r>
    </w:p>
    <w:p w:rsidR="00507D93" w:rsidRPr="005B7AC3" w:rsidRDefault="00507D93" w:rsidP="00F62844">
      <w:pPr>
        <w:spacing w:after="0" w:line="240" w:lineRule="auto"/>
        <w:jc w:val="center"/>
        <w:outlineLvl w:val="0"/>
        <w:rPr>
          <w:rFonts w:ascii="Times New Roman" w:eastAsia="Times New Roman" w:hAnsi="Times New Roman" w:cs="Times New Roman"/>
          <w:sz w:val="24"/>
          <w:szCs w:val="24"/>
          <w:lang w:val="pt-BR"/>
        </w:rPr>
      </w:pPr>
      <w:r w:rsidRPr="005B7AC3">
        <w:rPr>
          <w:rFonts w:ascii="Times New Roman" w:eastAsia="Times New Roman" w:hAnsi="Times New Roman" w:cs="Times New Roman"/>
          <w:sz w:val="24"/>
          <w:szCs w:val="24"/>
          <w:lang w:val="pt-BR"/>
        </w:rPr>
        <w:t>V E N D I M</w:t>
      </w:r>
    </w:p>
    <w:p w:rsidR="00507D93" w:rsidRPr="005B7AC3" w:rsidRDefault="00636FE8" w:rsidP="00636FE8">
      <w:pPr>
        <w:spacing w:after="0" w:line="240" w:lineRule="auto"/>
        <w:jc w:val="center"/>
        <w:outlineLvl w:val="0"/>
        <w:rPr>
          <w:rFonts w:ascii="Times New Roman" w:eastAsia="Times New Roman" w:hAnsi="Times New Roman" w:cs="Times New Roman"/>
          <w:sz w:val="24"/>
          <w:szCs w:val="24"/>
          <w:lang w:val="pt-BR"/>
        </w:rPr>
      </w:pPr>
      <w:r w:rsidRPr="005B7AC3">
        <w:rPr>
          <w:rFonts w:ascii="Times New Roman" w:eastAsia="Times New Roman" w:hAnsi="Times New Roman" w:cs="Times New Roman"/>
          <w:sz w:val="24"/>
          <w:szCs w:val="24"/>
          <w:lang w:val="pt-BR"/>
        </w:rPr>
        <w:t>Nr. 371, datë 11.06.2014</w:t>
      </w:r>
    </w:p>
    <w:p w:rsidR="00507D93" w:rsidRPr="005B7AC3" w:rsidRDefault="00507D93" w:rsidP="00507D93">
      <w:pPr>
        <w:spacing w:after="0" w:line="240" w:lineRule="auto"/>
        <w:jc w:val="center"/>
        <w:outlineLvl w:val="0"/>
        <w:rPr>
          <w:rFonts w:ascii="Times New Roman" w:eastAsia="Times New Roman" w:hAnsi="Times New Roman" w:cs="Times New Roman"/>
          <w:sz w:val="24"/>
          <w:szCs w:val="24"/>
          <w:lang w:val="pt-BR"/>
        </w:rPr>
      </w:pPr>
    </w:p>
    <w:p w:rsidR="00507D93" w:rsidRPr="005B7AC3" w:rsidRDefault="00507D93" w:rsidP="00507D93">
      <w:pPr>
        <w:spacing w:after="0" w:line="240" w:lineRule="auto"/>
        <w:jc w:val="center"/>
        <w:outlineLvl w:val="0"/>
        <w:rPr>
          <w:rFonts w:ascii="Times New Roman" w:eastAsia="Times New Roman" w:hAnsi="Times New Roman" w:cs="Times New Roman"/>
          <w:sz w:val="24"/>
          <w:szCs w:val="24"/>
          <w:lang w:val="pt-BR"/>
        </w:rPr>
      </w:pPr>
      <w:r w:rsidRPr="005B7AC3">
        <w:rPr>
          <w:rFonts w:ascii="Times New Roman" w:eastAsia="Times New Roman" w:hAnsi="Times New Roman" w:cs="Times New Roman"/>
          <w:sz w:val="24"/>
          <w:szCs w:val="24"/>
          <w:lang w:val="pt-BR"/>
        </w:rPr>
        <w:t>PËR</w:t>
      </w:r>
    </w:p>
    <w:p w:rsidR="00507D93" w:rsidRPr="005B7AC3" w:rsidRDefault="00507D93" w:rsidP="00507D93">
      <w:pPr>
        <w:spacing w:after="0" w:line="240" w:lineRule="auto"/>
        <w:jc w:val="center"/>
        <w:outlineLvl w:val="0"/>
        <w:rPr>
          <w:rFonts w:ascii="Times New Roman" w:eastAsia="Times New Roman" w:hAnsi="Times New Roman" w:cs="Times New Roman"/>
          <w:sz w:val="24"/>
          <w:szCs w:val="24"/>
          <w:lang w:val="pt-BR"/>
        </w:rPr>
      </w:pPr>
      <w:bookmarkStart w:id="0" w:name="_GoBack"/>
      <w:bookmarkEnd w:id="0"/>
    </w:p>
    <w:p w:rsidR="00507D93" w:rsidRPr="005B7AC3" w:rsidRDefault="00507D93" w:rsidP="00507D93">
      <w:pPr>
        <w:tabs>
          <w:tab w:val="right" w:pos="9339"/>
        </w:tabs>
        <w:spacing w:after="120" w:line="276" w:lineRule="auto"/>
        <w:jc w:val="center"/>
        <w:rPr>
          <w:rFonts w:ascii="Times New Roman" w:eastAsia="ヒラギノ角ゴ Pro W3" w:hAnsi="Times New Roman" w:cs="Times New Roman"/>
          <w:caps/>
          <w:sz w:val="24"/>
          <w:szCs w:val="24"/>
          <w:u w:val="single"/>
          <w:lang w:val="it-IT"/>
        </w:rPr>
      </w:pPr>
      <w:r w:rsidRPr="005B7AC3">
        <w:rPr>
          <w:rFonts w:ascii="Times New Roman" w:eastAsia="ヒラギノ角ゴ Pro W3" w:hAnsi="Times New Roman" w:cs="Times New Roman"/>
          <w:caps/>
          <w:sz w:val="24"/>
          <w:szCs w:val="24"/>
          <w:u w:val="single"/>
          <w:lang w:val="it-IT"/>
        </w:rPr>
        <w:t xml:space="preserve">PËRCAKTIMIN E RREGULLAVE PËR DORËZIMIN E MBETJEVE TË RREZIKSHME DHE MIRATIMIN E DOKUMENTIT TË DORËZIMIT Të mbetjeVE TË rrezikshme  </w:t>
      </w:r>
    </w:p>
    <w:p w:rsidR="00507D93" w:rsidRPr="005B7AC3" w:rsidRDefault="00507D93" w:rsidP="00507D93">
      <w:pPr>
        <w:spacing w:after="0" w:line="240" w:lineRule="auto"/>
        <w:jc w:val="both"/>
        <w:rPr>
          <w:rFonts w:ascii="Times New Roman" w:eastAsia="Times New Roman" w:hAnsi="Times New Roman" w:cs="Times New Roman"/>
          <w:sz w:val="24"/>
          <w:szCs w:val="24"/>
          <w:lang w:val="pt-BR"/>
        </w:rPr>
      </w:pPr>
      <w:r w:rsidRPr="005B7AC3">
        <w:rPr>
          <w:rFonts w:ascii="Times New Roman" w:eastAsia="Cambria" w:hAnsi="Times New Roman" w:cs="Times New Roman"/>
          <w:sz w:val="24"/>
          <w:szCs w:val="24"/>
          <w:lang w:val="it-IT"/>
        </w:rPr>
        <w:t xml:space="preserve">Në mbështetje të nenit 100 të Kushtetutës dhe të pikës 7, të nenit 26, </w:t>
      </w:r>
      <w:r w:rsidRPr="005B7AC3">
        <w:rPr>
          <w:rFonts w:ascii="Times New Roman" w:eastAsia="Times New Roman" w:hAnsi="Times New Roman" w:cs="Times New Roman"/>
          <w:spacing w:val="-3"/>
          <w:sz w:val="24"/>
          <w:szCs w:val="24"/>
          <w:lang w:val="en-GB"/>
        </w:rPr>
        <w:t xml:space="preserve">të ligjit nr. </w:t>
      </w:r>
      <w:r w:rsidRPr="005B7AC3">
        <w:rPr>
          <w:rFonts w:ascii="Times New Roman" w:eastAsia="Cambria" w:hAnsi="Times New Roman" w:cs="Times New Roman"/>
          <w:sz w:val="24"/>
          <w:szCs w:val="24"/>
          <w:lang w:val="it-IT"/>
        </w:rPr>
        <w:t xml:space="preserve">10463, datë 22.9.2011 “Për Menaxhimin e Integruar të Mbetjeve”, i ndryshuar, me propozimin e ministrit të Mjedisit, </w:t>
      </w:r>
      <w:r w:rsidRPr="005B7AC3">
        <w:rPr>
          <w:rFonts w:ascii="Times New Roman" w:eastAsia="Times New Roman" w:hAnsi="Times New Roman" w:cs="Times New Roman"/>
          <w:sz w:val="24"/>
          <w:szCs w:val="24"/>
          <w:lang w:val="pt-BR"/>
        </w:rPr>
        <w:t xml:space="preserve">Këshilli i Ministrave </w:t>
      </w:r>
    </w:p>
    <w:p w:rsidR="00507D93" w:rsidRPr="005B7AC3" w:rsidRDefault="00507D93" w:rsidP="00507D93">
      <w:pPr>
        <w:spacing w:after="0" w:line="240" w:lineRule="auto"/>
        <w:jc w:val="both"/>
        <w:rPr>
          <w:rFonts w:ascii="Times New Roman" w:eastAsia="Times New Roman" w:hAnsi="Times New Roman" w:cs="Times New Roman"/>
          <w:sz w:val="24"/>
          <w:szCs w:val="24"/>
          <w:lang w:val="pt-BR"/>
        </w:rPr>
      </w:pPr>
    </w:p>
    <w:p w:rsidR="00507D93" w:rsidRPr="005B7AC3" w:rsidRDefault="00507D93" w:rsidP="00507D93">
      <w:pPr>
        <w:spacing w:after="0" w:line="240" w:lineRule="auto"/>
        <w:jc w:val="center"/>
        <w:outlineLvl w:val="0"/>
        <w:rPr>
          <w:rFonts w:ascii="Times New Roman" w:eastAsia="Times New Roman" w:hAnsi="Times New Roman" w:cs="Times New Roman"/>
          <w:sz w:val="24"/>
          <w:szCs w:val="24"/>
          <w:lang w:val="pt-BR"/>
        </w:rPr>
      </w:pPr>
      <w:r w:rsidRPr="005B7AC3">
        <w:rPr>
          <w:rFonts w:ascii="Times New Roman" w:eastAsia="Times New Roman" w:hAnsi="Times New Roman" w:cs="Times New Roman"/>
          <w:sz w:val="24"/>
          <w:szCs w:val="24"/>
          <w:lang w:val="pt-BR"/>
        </w:rPr>
        <w:t>V E N D O S I:</w:t>
      </w:r>
    </w:p>
    <w:p w:rsidR="00507D93" w:rsidRPr="005B7AC3" w:rsidRDefault="00507D93" w:rsidP="00507D93">
      <w:pPr>
        <w:spacing w:after="0" w:line="240" w:lineRule="auto"/>
        <w:jc w:val="center"/>
        <w:outlineLvl w:val="0"/>
        <w:rPr>
          <w:rFonts w:ascii="Times New Roman" w:eastAsia="Times New Roman" w:hAnsi="Times New Roman" w:cs="Times New Roman"/>
          <w:sz w:val="24"/>
          <w:szCs w:val="24"/>
          <w:lang w:val="pt-BR"/>
        </w:rPr>
      </w:pPr>
    </w:p>
    <w:p w:rsidR="00507D93" w:rsidRPr="005B7AC3" w:rsidRDefault="00507D93" w:rsidP="0057199D">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Cambria" w:hAnsi="Times New Roman" w:cs="Times New Roman"/>
          <w:sz w:val="24"/>
          <w:szCs w:val="24"/>
          <w:lang w:val="en-GB"/>
        </w:rPr>
        <w:t xml:space="preserve">Miratimin e procedurave për </w:t>
      </w:r>
      <w:r w:rsidR="00932828" w:rsidRPr="005B7AC3">
        <w:rPr>
          <w:rFonts w:ascii="Times New Roman" w:eastAsia="Cambria" w:hAnsi="Times New Roman" w:cs="Times New Roman"/>
          <w:sz w:val="24"/>
          <w:szCs w:val="24"/>
          <w:lang w:val="en-GB"/>
        </w:rPr>
        <w:t>për</w:t>
      </w:r>
      <w:r w:rsidR="00932828" w:rsidRPr="005B7AC3">
        <w:rPr>
          <w:rFonts w:ascii="Times New Roman" w:eastAsia="ヒラギノ角ゴ Pro W3" w:hAnsi="Times New Roman" w:cs="Times New Roman"/>
          <w:sz w:val="24"/>
          <w:szCs w:val="24"/>
          <w:lang w:val="it-IT"/>
        </w:rPr>
        <w:t>caktimin e rregullave për dorëzimin e mbetjeve të rrezikshme</w:t>
      </w:r>
      <w:r w:rsidRPr="005B7AC3">
        <w:rPr>
          <w:rFonts w:ascii="Times New Roman" w:eastAsia="Cambria" w:hAnsi="Times New Roman" w:cs="Times New Roman"/>
          <w:sz w:val="24"/>
          <w:szCs w:val="24"/>
          <w:lang w:val="en-GB"/>
        </w:rPr>
        <w:t xml:space="preserve"> në mënyrë profesionale nga një person tek një tjetër brënda territorit të Republikës së Shqipërisë</w:t>
      </w:r>
      <w:r w:rsidR="00932828" w:rsidRPr="005B7AC3">
        <w:rPr>
          <w:rFonts w:ascii="Times New Roman" w:eastAsia="Cambria" w:hAnsi="Times New Roman" w:cs="Times New Roman"/>
          <w:sz w:val="24"/>
          <w:szCs w:val="24"/>
          <w:lang w:val="en-GB"/>
        </w:rPr>
        <w:t>.</w:t>
      </w:r>
    </w:p>
    <w:p w:rsidR="00507D93" w:rsidRPr="005B7AC3" w:rsidRDefault="00507D93" w:rsidP="00507D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jc w:val="both"/>
        <w:rPr>
          <w:rFonts w:ascii="Times New Roman" w:eastAsia="ヒラギノ角ゴ Pro W3"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Mbetje të rrezikshme klasifikohen mbetjet e shënuara me shenjën yll “*” të miratuara me Vendimin e Këshillit të Ministrave Nr.99, datë 18.02.2005 “Për miratimin e Katallogut Shqiptar të Mbetjeve”.</w:t>
      </w:r>
    </w:p>
    <w:p w:rsidR="00507D93" w:rsidRPr="005B7AC3" w:rsidRDefault="00507D93" w:rsidP="00507D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jc w:val="both"/>
        <w:rPr>
          <w:rFonts w:ascii="Times New Roman" w:eastAsia="ヒラギノ角ゴ Pro W3"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sq-AL"/>
        </w:rPr>
      </w:pPr>
      <w:r w:rsidRPr="005B7AC3">
        <w:rPr>
          <w:rFonts w:ascii="Times New Roman" w:eastAsia="ヒラギノ角ゴ Pro W3" w:hAnsi="Times New Roman" w:cs="Times New Roman"/>
          <w:sz w:val="24"/>
          <w:szCs w:val="24"/>
          <w:lang w:val="en-GB"/>
        </w:rPr>
        <w:t>Termat e përdorur në këtë vendim kanë kuptimin e dhënë në ligjin nr. 10463, datë 22.09.2011 “Për Menaxhimin e Integruar t</w:t>
      </w:r>
      <w:r w:rsidR="005D3274" w:rsidRPr="005B7AC3">
        <w:rPr>
          <w:rFonts w:ascii="Times New Roman" w:eastAsia="ヒラギノ角ゴ Pro W3" w:hAnsi="Times New Roman" w:cs="Times New Roman"/>
          <w:sz w:val="24"/>
          <w:szCs w:val="24"/>
          <w:lang w:val="en-GB"/>
        </w:rPr>
        <w:t>ë Mbetjeve”</w:t>
      </w:r>
      <w:r w:rsidRPr="005B7AC3">
        <w:rPr>
          <w:rFonts w:ascii="Times New Roman" w:eastAsia="ヒラギノ角ゴ Pro W3" w:hAnsi="Times New Roman" w:cs="Times New Roman"/>
          <w:sz w:val="24"/>
          <w:szCs w:val="24"/>
          <w:lang w:val="en-GB"/>
        </w:rPr>
        <w:t xml:space="preserve"> i ndryshuar, </w:t>
      </w:r>
      <w:r w:rsidRPr="005B7AC3">
        <w:rPr>
          <w:rFonts w:ascii="Times New Roman" w:eastAsia="ヒラギノ角ゴ Pro W3" w:hAnsi="Times New Roman" w:cs="Times New Roman"/>
          <w:bCs/>
          <w:sz w:val="24"/>
          <w:szCs w:val="24"/>
          <w:lang w:val="en-GB"/>
        </w:rPr>
        <w:t>në ligjin nr. 118/2012</w:t>
      </w:r>
      <w:r w:rsidRPr="005B7AC3">
        <w:rPr>
          <w:rFonts w:ascii="Times New Roman" w:eastAsia="ヒラギノ角ゴ Pro W3" w:hAnsi="Times New Roman" w:cs="Times New Roman"/>
          <w:sz w:val="24"/>
          <w:szCs w:val="24"/>
          <w:lang w:val="en-GB"/>
        </w:rPr>
        <w:t xml:space="preserve"> “P</w:t>
      </w:r>
      <w:r w:rsidRPr="005B7AC3">
        <w:rPr>
          <w:rFonts w:ascii="Times New Roman" w:eastAsia="ヒラギノ角ゴ Pro W3" w:hAnsi="Times New Roman" w:cs="Times New Roman"/>
          <w:bCs/>
          <w:sz w:val="24"/>
          <w:szCs w:val="24"/>
          <w:lang w:val="en-GB"/>
        </w:rPr>
        <w:t>ër transportin e mallrave të rrezikshme”</w:t>
      </w:r>
      <w:r w:rsidRPr="005B7AC3">
        <w:rPr>
          <w:rFonts w:ascii="Times New Roman" w:eastAsia="ヒラギノ角ゴ Pro W3" w:hAnsi="Times New Roman" w:cs="Times New Roman"/>
          <w:sz w:val="24"/>
          <w:szCs w:val="24"/>
          <w:lang w:val="en-GB"/>
        </w:rPr>
        <w:t xml:space="preserve"> dhe në Vendimin e Këshillit të Ministrave Nr.99, datë 18.02.2005 “Për miratimin e Katallogut Shqiptar të Mbetjeve” të cilit me poshtë i referohemi me emërtimin “Katalogu i Mbetjeve”,</w:t>
      </w:r>
      <w:r w:rsidRPr="005B7AC3">
        <w:rPr>
          <w:rFonts w:ascii="Times New Roman" w:eastAsia="ヒラギノ角ゴ Pro W3" w:hAnsi="Times New Roman" w:cs="Times New Roman"/>
          <w:spacing w:val="2"/>
          <w:sz w:val="24"/>
          <w:szCs w:val="24"/>
          <w:lang w:val="en-GB"/>
        </w:rPr>
        <w:t xml:space="preserve"> në ligjin </w:t>
      </w:r>
      <w:r w:rsidRPr="005B7AC3">
        <w:rPr>
          <w:rFonts w:ascii="Times New Roman" w:eastAsia="ヒラギノ角ゴ Pro W3" w:hAnsi="Times New Roman" w:cs="Times New Roman"/>
          <w:sz w:val="24"/>
          <w:szCs w:val="24"/>
          <w:lang w:val="en-GB"/>
        </w:rPr>
        <w:t>nr.</w:t>
      </w:r>
      <w:r w:rsidR="005D3274" w:rsidRPr="005B7AC3">
        <w:rPr>
          <w:rFonts w:ascii="Times New Roman" w:eastAsia="ヒラギノ角ゴ Pro W3" w:hAnsi="Times New Roman" w:cs="Times New Roman"/>
          <w:sz w:val="24"/>
          <w:szCs w:val="24"/>
          <w:lang w:val="en-GB"/>
        </w:rPr>
        <w:t xml:space="preserve"> </w:t>
      </w:r>
      <w:r w:rsidRPr="005B7AC3">
        <w:rPr>
          <w:rFonts w:ascii="Times New Roman" w:eastAsia="ヒラギノ角ゴ Pro W3" w:hAnsi="Times New Roman" w:cs="Times New Roman"/>
          <w:sz w:val="24"/>
          <w:szCs w:val="24"/>
          <w:lang w:val="en-GB"/>
        </w:rPr>
        <w:t>9108, datë 17.7.2003 “</w:t>
      </w:r>
      <w:r w:rsidRPr="005B7AC3">
        <w:rPr>
          <w:rFonts w:ascii="Times New Roman" w:eastAsia="ヒラギノ角ゴ Pro W3" w:hAnsi="Times New Roman" w:cs="Times New Roman"/>
          <w:bCs/>
          <w:spacing w:val="4"/>
          <w:sz w:val="24"/>
          <w:szCs w:val="24"/>
          <w:lang w:val="fr-FR"/>
        </w:rPr>
        <w:t xml:space="preserve">Për </w:t>
      </w:r>
      <w:r w:rsidRPr="005B7AC3">
        <w:rPr>
          <w:rFonts w:ascii="Times New Roman" w:eastAsia="ヒラギノ角ゴ Pro W3" w:hAnsi="Times New Roman" w:cs="Times New Roman"/>
          <w:bCs/>
          <w:spacing w:val="4"/>
          <w:sz w:val="24"/>
          <w:szCs w:val="24"/>
          <w:lang w:val="en-GB"/>
        </w:rPr>
        <w:t>Substancat dhe Preparatet Kimike”</w:t>
      </w:r>
      <w:r w:rsidRPr="005B7AC3">
        <w:rPr>
          <w:rFonts w:ascii="Times New Roman" w:eastAsia="ヒラギノ角ゴ Pro W3" w:hAnsi="Times New Roman" w:cs="Times New Roman"/>
          <w:sz w:val="24"/>
          <w:szCs w:val="24"/>
          <w:lang w:val="en-GB"/>
        </w:rPr>
        <w:t xml:space="preserve"> si </w:t>
      </w:r>
      <w:r w:rsidRPr="005B7AC3">
        <w:rPr>
          <w:rFonts w:ascii="Times New Roman" w:eastAsia="ヒラギノ角ゴ Pro W3" w:hAnsi="Times New Roman" w:cs="Times New Roman"/>
          <w:sz w:val="24"/>
          <w:szCs w:val="24"/>
          <w:lang w:val="sq-AL"/>
        </w:rPr>
        <w:t xml:space="preserve">edhe ligji nr. 9272, datë 16.9.2004 “Për aderimin e Republikës së Shqipërisë në marrëveshjen europiane “Për transportin ndërkombëtar rrugor të mallrave të </w:t>
      </w:r>
      <w:r w:rsidR="005D3274" w:rsidRPr="005B7AC3">
        <w:rPr>
          <w:rFonts w:ascii="Times New Roman" w:eastAsia="ヒラギノ角ゴ Pro W3" w:hAnsi="Times New Roman" w:cs="Times New Roman"/>
          <w:sz w:val="24"/>
          <w:szCs w:val="24"/>
          <w:lang w:val="sq-AL"/>
        </w:rPr>
        <w:t xml:space="preserve">rrezikshme </w:t>
      </w:r>
      <w:r w:rsidRPr="005B7AC3">
        <w:rPr>
          <w:rFonts w:ascii="Times New Roman" w:eastAsia="ヒラギノ角ゴ Pro W3" w:hAnsi="Times New Roman" w:cs="Times New Roman"/>
          <w:sz w:val="24"/>
          <w:szCs w:val="24"/>
          <w:lang w:val="sq-AL"/>
        </w:rPr>
        <w:t>(ADR)” dhe protokollin e nënshkrimit”, Gjenevë, më 30 shtator 1957, me pjesët e saj përbërëse, anekset A dhe B,</w:t>
      </w:r>
      <w:r w:rsidRPr="005B7AC3">
        <w:rPr>
          <w:rFonts w:ascii="Times New Roman" w:eastAsia="ヒラギノ角ゴ Pro W3" w:hAnsi="Times New Roman" w:cs="Times New Roman"/>
          <w:sz w:val="24"/>
          <w:szCs w:val="24"/>
          <w:lang w:val="en-GB"/>
        </w:rPr>
        <w:t xml:space="preserve"> ndërsa termat e mëposhtëm nënkuptojnë:</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sq-AL"/>
        </w:rPr>
      </w:pPr>
      <w:r w:rsidRPr="005B7AC3">
        <w:rPr>
          <w:rFonts w:ascii="Times New Roman" w:eastAsia="ヒラギノ角ゴ Pro W3" w:hAnsi="Times New Roman" w:cs="Times New Roman"/>
          <w:sz w:val="24"/>
          <w:szCs w:val="24"/>
          <w:lang w:val="sq-AL"/>
        </w:rPr>
        <w:t>“Dorëzuesi” është krijuesi i mbetjeve të rrezikshme, grumbulluesi, agjenti ose tregtari.</w:t>
      </w:r>
    </w:p>
    <w:p w:rsidR="00507D93" w:rsidRPr="005B7AC3" w:rsidRDefault="00507D93" w:rsidP="00507D93">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sq-AL"/>
        </w:rPr>
      </w:pPr>
      <w:r w:rsidRPr="005B7AC3">
        <w:rPr>
          <w:rFonts w:ascii="Times New Roman" w:eastAsia="ヒラギノ角ゴ Pro W3" w:hAnsi="Times New Roman" w:cs="Times New Roman"/>
          <w:sz w:val="24"/>
          <w:szCs w:val="24"/>
          <w:lang w:val="sq-AL"/>
        </w:rPr>
        <w:t>“Marrësi” është personi pritës i mbetjeve të rrezikshme i cili i merr në dorëzim mbetjet e rrezikshme nga transportuesi.</w:t>
      </w:r>
    </w:p>
    <w:p w:rsidR="00507D93" w:rsidRPr="005B7AC3" w:rsidRDefault="00507D93" w:rsidP="00507D93">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sq-AL"/>
        </w:rPr>
      </w:pPr>
      <w:r w:rsidRPr="005B7AC3">
        <w:rPr>
          <w:rFonts w:ascii="Times New Roman" w:eastAsia="ヒラギノ角ゴ Pro W3" w:hAnsi="Times New Roman" w:cs="Times New Roman"/>
          <w:sz w:val="24"/>
          <w:szCs w:val="24"/>
          <w:lang w:val="sq-AL"/>
        </w:rPr>
        <w:t>“Transportues” është subjekti, i cili transferon mbetjen e rrezikshme nga dorëzuesi tek marrësi në dorëzim.</w:t>
      </w:r>
    </w:p>
    <w:p w:rsidR="00507D93" w:rsidRPr="005B7AC3" w:rsidRDefault="00507D93" w:rsidP="00507D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70"/>
        <w:jc w:val="both"/>
        <w:rPr>
          <w:rFonts w:ascii="Times New Roman" w:eastAsia="ヒラギノ角ゴ Pro W3" w:hAnsi="Times New Roman" w:cs="Times New Roman"/>
          <w:sz w:val="24"/>
          <w:szCs w:val="24"/>
          <w:lang w:val="sq-AL"/>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 Dorëzimi i mbetjeve të rrezikshme nga një person tek një person tjetër bëhet pas plotësimit të Dokumentit të Dorëzimit sipas Shtojcës 1 dhe Shtojcës 2, bashkëlidhur këtij vendimi. </w:t>
      </w:r>
    </w:p>
    <w:p w:rsidR="00507D93" w:rsidRPr="005B7AC3" w:rsidRDefault="00507D93" w:rsidP="00507D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Dorëzuesi, transportuesi dhe marrësi i mbetjeve të rrezikshme janë persona fizikë ose juridik të pajisur me lejen e mjedisit sipas fushës </w:t>
      </w:r>
      <w:r w:rsidRPr="005B7AC3">
        <w:rPr>
          <w:rFonts w:ascii="Times New Roman" w:eastAsia="ヒラギノ角ゴ Pro W3" w:hAnsi="Times New Roman" w:cs="Times New Roman"/>
          <w:sz w:val="24"/>
          <w:szCs w:val="24"/>
          <w:lang w:val="sq-AL"/>
        </w:rPr>
        <w:t>III.1 të shtojcës së</w:t>
      </w:r>
      <w:r w:rsidR="005F2B13" w:rsidRPr="005B7AC3">
        <w:rPr>
          <w:rFonts w:ascii="Times New Roman" w:eastAsia="ヒラギノ角ゴ Pro W3" w:hAnsi="Times New Roman" w:cs="Times New Roman"/>
          <w:sz w:val="24"/>
          <w:szCs w:val="24"/>
          <w:lang w:val="sq-AL"/>
        </w:rPr>
        <w:t xml:space="preserve"> </w:t>
      </w:r>
      <w:r w:rsidRPr="005B7AC3">
        <w:rPr>
          <w:rFonts w:ascii="Times New Roman" w:eastAsia="ヒラギノ角ゴ Pro W3" w:hAnsi="Times New Roman" w:cs="Times New Roman"/>
          <w:sz w:val="24"/>
          <w:szCs w:val="24"/>
          <w:lang w:val="sq-AL"/>
        </w:rPr>
        <w:t xml:space="preserve">ligjit </w:t>
      </w:r>
      <w:r w:rsidRPr="005B7AC3">
        <w:rPr>
          <w:rFonts w:ascii="Times New Roman" w:eastAsia="ヒラギノ角ゴ Pro W3" w:hAnsi="Times New Roman" w:cs="Times New Roman"/>
          <w:sz w:val="24"/>
          <w:szCs w:val="24"/>
          <w:lang w:val="sq-AL"/>
        </w:rPr>
        <w:lastRenderedPageBreak/>
        <w:t xml:space="preserve">nr.10081, datë 23.2.2009 “Për licencat, autorizimet dhe lejet në Republikën e Shqipërisë” dhe </w:t>
      </w:r>
      <w:r w:rsidRPr="005B7AC3">
        <w:rPr>
          <w:rFonts w:ascii="Times New Roman" w:eastAsia="ヒラギノ角ゴ Pro W3" w:hAnsi="Times New Roman" w:cs="Times New Roman"/>
          <w:sz w:val="24"/>
          <w:szCs w:val="24"/>
          <w:lang w:val="en-GB"/>
        </w:rPr>
        <w:t>liçencën III.2.B të fushës III të vendimit nr. 538, datë 26.5.2009 të Këshillit të Ministrave “Për licencat dhe lejet që trajtohen nga/apo nëpërmjet Qendrës Kombëtare të Licencimit (QKL) dhe disa rregullime të tjera nënligjore të përbashkëta”.</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Kur transporti i mbetjeve të rrezikshme kryhet nga transportues të licencuar për të tretë ose me qira, ai është i mbështetur mbi kontratën e transportit midis palëve, në të cilën përcaktohen detyrimisht personi përgjegjës për garantimin e mbërritjes në destinacion të mbetjeve të rrezikshme brenda afateve të përcaktuara në këtë vendim, në rastet e parashikuara në pikën 11, të këtij vendimi.</w:t>
      </w:r>
    </w:p>
    <w:p w:rsidR="004D0863" w:rsidRPr="005B7AC3" w:rsidRDefault="004D0863" w:rsidP="004D086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p>
    <w:p w:rsidR="00507D93" w:rsidRPr="005B7AC3" w:rsidRDefault="00507D93" w:rsidP="00507D93">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Transportuesi i </w:t>
      </w:r>
      <w:r w:rsidR="004D0863" w:rsidRPr="005B7AC3">
        <w:rPr>
          <w:rFonts w:ascii="Times New Roman" w:eastAsia="ヒラギノ角ゴ Pro W3" w:hAnsi="Times New Roman" w:cs="Times New Roman"/>
          <w:sz w:val="24"/>
          <w:szCs w:val="24"/>
          <w:lang w:val="en-GB"/>
        </w:rPr>
        <w:t xml:space="preserve">mbetjeve të rrezikshme </w:t>
      </w:r>
      <w:r w:rsidRPr="005B7AC3">
        <w:rPr>
          <w:rFonts w:ascii="Times New Roman" w:eastAsia="ヒラギノ角ゴ Pro W3" w:hAnsi="Times New Roman" w:cs="Times New Roman"/>
          <w:sz w:val="24"/>
          <w:szCs w:val="24"/>
          <w:lang w:val="en-GB"/>
        </w:rPr>
        <w:t>duhet të lidhë një kontratë</w:t>
      </w:r>
      <w:r w:rsidR="004D0863" w:rsidRPr="005B7AC3">
        <w:rPr>
          <w:rFonts w:ascii="Times New Roman" w:eastAsia="ヒラギノ角ゴ Pro W3" w:hAnsi="Times New Roman" w:cs="Times New Roman"/>
          <w:sz w:val="24"/>
          <w:szCs w:val="24"/>
          <w:lang w:val="en-GB"/>
        </w:rPr>
        <w:t xml:space="preserve"> midis palëve </w:t>
      </w:r>
      <w:r w:rsidRPr="005B7AC3">
        <w:rPr>
          <w:rFonts w:ascii="Times New Roman" w:eastAsia="ヒラギノ角ゴ Pro W3" w:hAnsi="Times New Roman" w:cs="Times New Roman"/>
          <w:sz w:val="24"/>
          <w:szCs w:val="24"/>
          <w:lang w:val="en-GB"/>
        </w:rPr>
        <w:t>, ndërsa në rastin, kur dorëzuesi/krijuesi apo marrësi ka mjetet e tij, transporti kryhet pa një kontratë për transportin.</w:t>
      </w:r>
    </w:p>
    <w:p w:rsidR="00507D93" w:rsidRPr="005B7AC3" w:rsidRDefault="00507D93" w:rsidP="00507D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630"/>
        <w:jc w:val="both"/>
        <w:rPr>
          <w:rFonts w:ascii="Times New Roman" w:eastAsia="ヒラギノ角ゴ Pro W3" w:hAnsi="Times New Roman" w:cs="Times New Roman"/>
          <w:sz w:val="24"/>
          <w:szCs w:val="24"/>
          <w:lang w:val="en-GB"/>
        </w:rPr>
      </w:pPr>
    </w:p>
    <w:p w:rsidR="00507D93" w:rsidRPr="005B7AC3" w:rsidRDefault="00507D93" w:rsidP="00507D93">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“Kur transporti i mbetjeve të rrezikshme kryhet me mjetet e vet d</w:t>
      </w:r>
      <w:r w:rsidR="005D3274" w:rsidRPr="005B7AC3">
        <w:rPr>
          <w:rFonts w:ascii="Times New Roman" w:eastAsia="ヒラギノ角ゴ Pro W3" w:hAnsi="Times New Roman" w:cs="Times New Roman"/>
          <w:sz w:val="24"/>
          <w:szCs w:val="24"/>
          <w:lang w:val="en-GB"/>
        </w:rPr>
        <w:t>o</w:t>
      </w:r>
      <w:r w:rsidRPr="005B7AC3">
        <w:rPr>
          <w:rFonts w:ascii="Times New Roman" w:eastAsia="ヒラギノ角ゴ Pro W3" w:hAnsi="Times New Roman" w:cs="Times New Roman"/>
          <w:sz w:val="24"/>
          <w:szCs w:val="24"/>
          <w:lang w:val="en-GB"/>
        </w:rPr>
        <w:t>rëzuesit apo marrësit, kontrata mbi transportin nuk është e nevojshme”.</w:t>
      </w:r>
    </w:p>
    <w:p w:rsidR="00507D93" w:rsidRPr="005B7AC3" w:rsidRDefault="00507D93" w:rsidP="005D3274">
      <w:pPr>
        <w:spacing w:after="0" w:line="240" w:lineRule="auto"/>
        <w:rPr>
          <w:rFonts w:ascii="Times New Roman" w:eastAsia="Cambria"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Përpara largimit të mbetjes së rrezikshme nga vendi ku gjenerohet, dorëzuesi i mbetjes së rrezikshme plotëson Dokumentin e Dorëzimit </w:t>
      </w:r>
      <w:r w:rsidRPr="005B7AC3">
        <w:rPr>
          <w:rFonts w:ascii="Times New Roman" w:eastAsia="ヒラギノ角ゴ Pro W3" w:hAnsi="Times New Roman" w:cs="Times New Roman"/>
          <w:sz w:val="24"/>
          <w:szCs w:val="24"/>
          <w:lang w:val="da-DK"/>
        </w:rPr>
        <w:t>në në aq kopje sa janë personat që nënshkruajnë Dokumentin</w:t>
      </w:r>
      <w:r w:rsidRPr="005B7AC3">
        <w:rPr>
          <w:rFonts w:ascii="Times New Roman" w:eastAsia="ヒラギノ角ゴ Pro W3" w:hAnsi="Times New Roman" w:cs="Times New Roman"/>
          <w:sz w:val="24"/>
          <w:szCs w:val="24"/>
          <w:lang w:val="en-GB"/>
        </w:rPr>
        <w:t>.</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Dokumenti i Dorëzimit plotësohet dhe nënshkruhet nga dorëzuesi, transportuesi dhe marrësi i mbetjeve të rrezikshme.</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num" w:pos="24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240" w:hanging="240"/>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 Dorëzuesi dërgon një kopje e Dokumentave të Dorëzimit të plotësuar dhe të nënshkruar nga palët pranë Agjencisë Kombëtare të Mjedisit dhe Inspektoriatit Shtetëror të Mjedisit, Pyjeve dhe Ujërave për çdo transfertë. </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left" w:pos="27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Dorëzuesi plotëson shkronjat “A”, “B” dhe “D” të Dokumentit të Dorëzimit; Transportuesi plotëson shkronjën “C” të Dokumentit të Dorëzimit dhe marrësi plotëson shkronjën “E” të Dokumentit të Dorëzimit. </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Transportuesi dorëzon mbetjet e rrezikshme tek marrësi brenda 72 orëve nga data e nisjes sipas përcaktimit në shkronjën “C/13” të Dokumentit të Dorëzimit. </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932828" w:rsidRPr="005B7AC3" w:rsidRDefault="00507D93" w:rsidP="00507D93">
      <w:pPr>
        <w:numPr>
          <w:ilvl w:val="0"/>
          <w:numId w:val="2"/>
        </w:num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Në rast se transportuesi është në pamundësi të respektimit të këtij afati për shkaqe teknike të automjetit ose për shkaqe shëndetësore të drejtuesit të mjetit, ai njofton menjëherë dërguesin dhe marrësin e mbetjeve të rrezikshme në numrat e telefonit apo mënyrat e komunikimit të parashikuara  sipas Shtojcës 1</w:t>
      </w:r>
      <w:r w:rsidR="00932828" w:rsidRPr="005B7AC3">
        <w:rPr>
          <w:rFonts w:ascii="Times New Roman" w:eastAsia="ヒラギノ角ゴ Pro W3" w:hAnsi="Times New Roman" w:cs="Times New Roman"/>
          <w:sz w:val="24"/>
          <w:szCs w:val="24"/>
          <w:lang w:val="en-GB"/>
        </w:rPr>
        <w:t>, për shtyrjen e afatit kohor të përcaktuar në pikën 11 të këtij vendimi.</w:t>
      </w:r>
    </w:p>
    <w:p w:rsidR="00932828" w:rsidRPr="005B7AC3" w:rsidRDefault="00932828" w:rsidP="00932828">
      <w:pPr>
        <w:pStyle w:val="ListParagraph"/>
        <w:rPr>
          <w:rFonts w:ascii="Times New Roman" w:eastAsia="ヒラギノ角ゴ Pro W3" w:hAnsi="Times New Roman"/>
        </w:rPr>
      </w:pPr>
    </w:p>
    <w:p w:rsidR="00507D93" w:rsidRPr="005B7AC3" w:rsidRDefault="00507D93" w:rsidP="00507D93">
      <w:pPr>
        <w:numPr>
          <w:ilvl w:val="0"/>
          <w:numId w:val="2"/>
        </w:num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Marrësi në dorëzim brenda 30 ditëve nga marrja e mbetjeve të rrezikshme, i dërgon dorëzuesit konfirmimin me shkrim për marrjen e mbetjeve dhe Dokumentin e Dorëzimit në dy kopje, të plotësuar dhe nënshkruar nga personat e përcaktuar në pikën 8 të këtij vendimi.</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 xml:space="preserve">Komunikimi midis personave që angazhohen në procesin e dorëzimit të mbetjeve të rrezikshme bëhet në formë shkresore ose në formë elektronike. Dokumenti i </w:t>
      </w:r>
      <w:r w:rsidRPr="005B7AC3">
        <w:rPr>
          <w:rFonts w:ascii="Times New Roman" w:eastAsia="ヒラギノ角ゴ Pro W3" w:hAnsi="Times New Roman" w:cs="Times New Roman"/>
          <w:sz w:val="24"/>
          <w:szCs w:val="24"/>
          <w:lang w:val="en-GB"/>
        </w:rPr>
        <w:lastRenderedPageBreak/>
        <w:t>Dorëzimit është i vlefshëm në formë elektronike vetëm nëse është plotësuar dhe nënshkruar nga personat e përcaktuar në pikën 8 të këtij vendimi.</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Marrësi, në rastin kur refuzon të marrë në dorëzim, plotësisht apo pjesërisht, ngarkesën me mbetje të rrezikshme informon me shkrim dërguesin për arsyet e refuzimit dhe plotëson pjesën “E/3” të Dokumentit të Dorëzimit duke specifikuar llojin e mbetjes së rrezikshme, kodin sipas Katalogut të Mbetjeve sasinë dhe formën fizike të mbetjes/ve së rrezikshme që refuzohet, sipas specifikimeve të dhëna në pjesën “B/3” dhe “B/4” të Dokumentit të Dorëzimit.</w:t>
      </w:r>
    </w:p>
    <w:p w:rsidR="00507D93" w:rsidRPr="005B7AC3" w:rsidRDefault="00507D93" w:rsidP="00507D9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Transportuesi, në rastet kur marrësi refuzon plotësisht apo pjesërisht marrjen në dorëzim të ngarkesës, kthen mbetjet e rrezikshme tek dorëzuesi brenda 48 orëve nga dita e refuzimit.</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num" w:pos="45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Dokumenti i Dorëzimit të mbetjeve të rrezikshme shoqëron çdo dorëzim të mbetjeve të rrezikshme deri në destinacionin përfundimtar dhe të dhënat rregjistrohen në Rregjistrin e Transfertave individuale që krijohet për këtë qëllim.</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left" w:pos="360"/>
          <w:tab w:val="num" w:pos="45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Agjencia Kombëtare e Mjedisit krijon Rregjistrin Kombëtar të Transfertave të mbetjeve të rrezikshme.</w:t>
      </w:r>
    </w:p>
    <w:p w:rsidR="00507D93" w:rsidRPr="005B7AC3" w:rsidRDefault="00507D93" w:rsidP="00507D93">
      <w:pPr>
        <w:tabs>
          <w:tab w:val="left" w:pos="27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360"/>
        <w:jc w:val="both"/>
        <w:rPr>
          <w:rFonts w:ascii="Times New Roman" w:eastAsia="ヒラギノ角ゴ Pro W3" w:hAnsi="Times New Roman" w:cs="Times New Roman"/>
          <w:sz w:val="24"/>
          <w:szCs w:val="24"/>
          <w:lang w:val="da-DK"/>
        </w:rPr>
      </w:pPr>
    </w:p>
    <w:p w:rsidR="00507D93" w:rsidRPr="005B7AC3" w:rsidRDefault="00507D93" w:rsidP="00507D93">
      <w:pPr>
        <w:numPr>
          <w:ilvl w:val="0"/>
          <w:numId w:val="2"/>
        </w:numPr>
        <w:tabs>
          <w:tab w:val="left" w:pos="270"/>
          <w:tab w:val="left" w:pos="360"/>
          <w:tab w:val="left" w:pos="450"/>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Mënyra e administrimit dhe formati i Rregjistrit të Transfertave individuale dhe formati i Rregjistrit Kombëtar të Transfertave miratohen me Urdhër të Ministrit.</w:t>
      </w:r>
      <w:r w:rsidR="005D3274" w:rsidRPr="005B7AC3">
        <w:rPr>
          <w:rFonts w:ascii="Times New Roman" w:eastAsia="ヒラギノ角ゴ Pro W3" w:hAnsi="Times New Roman" w:cs="Times New Roman"/>
          <w:sz w:val="24"/>
          <w:szCs w:val="24"/>
          <w:lang w:val="da-DK"/>
        </w:rPr>
        <w:t xml:space="preserve"> (eshte miratuar me nr. 135 datë 16.04.2015)</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Dokumenti i Dorëzimit përmban Kodin Unik i cili përbëhet nga dy pjesë. Pjesa e parë e Kodit Unik miratohet nga Agjencia Kombëtare e Mjedisit pas paraqitjes së kërkesës me shkrim nga dorëzuesi. Kërkesa shoqërohet me kopje të ekstraktit të Qendrës Kombëtare të Rregjistrimit.</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Agjencia Kombëtare e Mjedisit miraton pjesën e parë të Kodit Unik brenda 10 ditëve pune nga data e paraqitjes së kërkesës.</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 xml:space="preserve">Pjesa e parë e Kodit Unik është individuale dhe e papërsëritshme për çdo subjekt që transferon mbetje të rrezikshme. Pjesa e dytë e Kodit Unik vendoset nga vetë dorëzuesi dhe ndryshon  për çdo transfertë. </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num" w:pos="27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 xml:space="preserve">Përcaktimi i Kodit Unik bëhet sipas metodologjisë në </w:t>
      </w:r>
      <w:r w:rsidR="00F62844" w:rsidRPr="005B7AC3">
        <w:rPr>
          <w:rFonts w:ascii="Times New Roman" w:eastAsia="ヒラギノ角ゴ Pro W3" w:hAnsi="Times New Roman" w:cs="Times New Roman"/>
          <w:sz w:val="24"/>
          <w:szCs w:val="24"/>
          <w:lang w:val="da-DK"/>
        </w:rPr>
        <w:t>S</w:t>
      </w:r>
      <w:r w:rsidRPr="005B7AC3">
        <w:rPr>
          <w:rFonts w:ascii="Times New Roman" w:eastAsia="ヒラギノ角ゴ Pro W3" w:hAnsi="Times New Roman" w:cs="Times New Roman"/>
          <w:sz w:val="24"/>
          <w:szCs w:val="24"/>
          <w:lang w:val="da-DK"/>
        </w:rPr>
        <w:t>htojcën 2, bashkëlidhur këtij vendimi.</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 xml:space="preserve">Agjencia Kombëtare e Mjedisit krijon një bazë të dhënash për Kodet Unik, si pjesë të Rregjistrit Kombëtar të Transfertave të mbetjeve të rrezikshme. </w:t>
      </w:r>
    </w:p>
    <w:p w:rsidR="00507D93" w:rsidRPr="005B7AC3" w:rsidRDefault="00507D93" w:rsidP="00507D93">
      <w:pPr>
        <w:spacing w:after="0" w:line="240" w:lineRule="auto"/>
        <w:ind w:left="720"/>
        <w:rPr>
          <w:rFonts w:ascii="Times New Roman" w:eastAsia="Cambria" w:hAnsi="Times New Roman" w:cs="Times New Roman"/>
          <w:sz w:val="24"/>
          <w:szCs w:val="24"/>
          <w:lang w:val="da-DK"/>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Mospërmbushja e detyrimeve të përcaktuara në këtë vendim përbëjnë kundërvajtje administrative dhe dënohen sipas përcaktimeve në nenin 62 të ligjit nr.</w:t>
      </w:r>
      <w:r w:rsidRPr="005B7AC3">
        <w:rPr>
          <w:rFonts w:ascii="Times New Roman" w:eastAsia="ヒラギノ角ゴ Pro W3" w:hAnsi="Times New Roman" w:cs="Times New Roman"/>
          <w:sz w:val="24"/>
          <w:szCs w:val="24"/>
          <w:lang w:val="en-GB"/>
        </w:rPr>
        <w:t xml:space="preserve"> 10463, datë 22.09.2011 “Për Menaxhimin e Integruar të Mbetjeve”, i ndryshuar.</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numPr>
          <w:ilvl w:val="0"/>
          <w:numId w:val="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Ngarkohen Agjencia Kombëtare e Mjedisit dhe Inspektoriati Shtetëror i Mjedisit, Pyjeve dhe Ujërave për zbatimin e këtij vendimi.</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spacing w:after="0" w:line="240" w:lineRule="auto"/>
        <w:jc w:val="both"/>
        <w:rPr>
          <w:rFonts w:ascii="Times New Roman" w:eastAsia="Times New Roman" w:hAnsi="Times New Roman" w:cs="Times New Roman"/>
          <w:sz w:val="24"/>
          <w:szCs w:val="24"/>
          <w:lang w:val="eu-ES"/>
        </w:rPr>
      </w:pPr>
      <w:r w:rsidRPr="005B7AC3">
        <w:rPr>
          <w:rFonts w:ascii="Times New Roman" w:eastAsia="Times New Roman" w:hAnsi="Times New Roman" w:cs="Times New Roman"/>
          <w:sz w:val="24"/>
          <w:szCs w:val="24"/>
          <w:lang w:val="eu-ES"/>
        </w:rPr>
        <w:lastRenderedPageBreak/>
        <w:t>Ky vendim hyn në fuqi pas botimit në “Fletoren zyrtare”.</w:t>
      </w:r>
    </w:p>
    <w:p w:rsidR="00507D93" w:rsidRPr="005B7AC3" w:rsidRDefault="00507D93" w:rsidP="00F62844">
      <w:pPr>
        <w:spacing w:after="0" w:line="240" w:lineRule="auto"/>
        <w:jc w:val="center"/>
        <w:rPr>
          <w:rFonts w:ascii="Times New Roman" w:eastAsia="Times New Roman" w:hAnsi="Times New Roman" w:cs="Times New Roman"/>
          <w:sz w:val="24"/>
          <w:szCs w:val="24"/>
          <w:lang w:val="eu-ES"/>
        </w:rPr>
      </w:pPr>
      <w:r w:rsidRPr="005B7AC3">
        <w:rPr>
          <w:rFonts w:ascii="Times New Roman" w:eastAsia="Times New Roman" w:hAnsi="Times New Roman" w:cs="Times New Roman"/>
          <w:sz w:val="24"/>
          <w:szCs w:val="24"/>
          <w:lang w:val="eu-ES"/>
        </w:rPr>
        <w:t>K R Y E M I N I S T R I</w:t>
      </w:r>
    </w:p>
    <w:p w:rsidR="00507D93" w:rsidRPr="005B7AC3" w:rsidRDefault="00507D93" w:rsidP="00507D93">
      <w:pPr>
        <w:spacing w:after="0" w:line="240" w:lineRule="auto"/>
        <w:jc w:val="center"/>
        <w:rPr>
          <w:rFonts w:ascii="Times New Roman" w:eastAsia="Times New Roman" w:hAnsi="Times New Roman" w:cs="Times New Roman"/>
          <w:sz w:val="24"/>
          <w:szCs w:val="24"/>
          <w:lang w:val="eu-ES"/>
        </w:rPr>
      </w:pPr>
    </w:p>
    <w:p w:rsidR="00507D93" w:rsidRPr="005B7AC3" w:rsidRDefault="00507D93" w:rsidP="00507D93">
      <w:pPr>
        <w:spacing w:after="0" w:line="240" w:lineRule="auto"/>
        <w:jc w:val="center"/>
        <w:rPr>
          <w:rFonts w:ascii="Times New Roman" w:eastAsia="Times New Roman" w:hAnsi="Times New Roman" w:cs="Times New Roman"/>
          <w:sz w:val="24"/>
          <w:szCs w:val="24"/>
          <w:lang w:val="eu-ES"/>
        </w:rPr>
      </w:pPr>
      <w:r w:rsidRPr="005B7AC3">
        <w:rPr>
          <w:rFonts w:ascii="Times New Roman" w:eastAsia="Times New Roman" w:hAnsi="Times New Roman" w:cs="Times New Roman"/>
          <w:sz w:val="24"/>
          <w:szCs w:val="24"/>
          <w:lang w:val="eu-ES"/>
        </w:rPr>
        <w:t>EDI RAMA</w:t>
      </w:r>
    </w:p>
    <w:p w:rsidR="00507D93" w:rsidRPr="005B7AC3" w:rsidRDefault="00507D93" w:rsidP="00507D93">
      <w:pPr>
        <w:spacing w:after="0" w:line="240" w:lineRule="auto"/>
        <w:rPr>
          <w:rFonts w:ascii="Times New Roman" w:eastAsia="Cambria" w:hAnsi="Times New Roman" w:cs="Times New Roman"/>
          <w:sz w:val="24"/>
          <w:szCs w:val="24"/>
          <w:lang w:val="it-IT"/>
        </w:rPr>
      </w:pPr>
    </w:p>
    <w:p w:rsidR="00507D93" w:rsidRPr="005B7AC3" w:rsidRDefault="00507D93" w:rsidP="00507D93">
      <w:pPr>
        <w:spacing w:after="0" w:line="240" w:lineRule="auto"/>
        <w:rPr>
          <w:rFonts w:ascii="Times New Roman" w:eastAsia="Cambria" w:hAnsi="Times New Roman" w:cs="Times New Roman"/>
          <w:sz w:val="24"/>
          <w:szCs w:val="24"/>
          <w:lang w:val="it-IT"/>
        </w:rPr>
      </w:pPr>
    </w:p>
    <w:p w:rsidR="00507D93" w:rsidRPr="005B7AC3" w:rsidRDefault="00507D93" w:rsidP="00507D93">
      <w:pPr>
        <w:spacing w:after="0" w:line="240" w:lineRule="auto"/>
        <w:rPr>
          <w:rFonts w:ascii="Times New Roman" w:eastAsia="Cambria" w:hAnsi="Times New Roman" w:cs="Times New Roman"/>
          <w:sz w:val="24"/>
          <w:szCs w:val="24"/>
          <w:lang w:val="it-IT"/>
        </w:rPr>
      </w:pPr>
    </w:p>
    <w:p w:rsidR="00507D93" w:rsidRPr="005B7AC3" w:rsidRDefault="00507D93" w:rsidP="00507D93">
      <w:pPr>
        <w:spacing w:after="0" w:line="240" w:lineRule="auto"/>
        <w:rPr>
          <w:rFonts w:ascii="Times New Roman" w:eastAsia="Cambria" w:hAnsi="Times New Roman" w:cs="Times New Roman"/>
          <w:sz w:val="24"/>
          <w:szCs w:val="24"/>
          <w:lang w:val="it-IT"/>
        </w:rPr>
      </w:pPr>
    </w:p>
    <w:p w:rsidR="00F62844" w:rsidRPr="005B7AC3" w:rsidRDefault="00F62844" w:rsidP="00507D93">
      <w:pPr>
        <w:spacing w:after="0" w:line="276" w:lineRule="auto"/>
        <w:jc w:val="center"/>
        <w:rPr>
          <w:rFonts w:ascii="Times New Roman" w:eastAsia="Cambria" w:hAnsi="Times New Roman" w:cs="Times New Roman"/>
          <w:sz w:val="24"/>
          <w:szCs w:val="24"/>
          <w:lang w:val="it-IT"/>
        </w:rPr>
      </w:pPr>
    </w:p>
    <w:p w:rsidR="00507D93" w:rsidRPr="005B7AC3" w:rsidRDefault="00507D93" w:rsidP="00507D93">
      <w:pPr>
        <w:spacing w:after="0" w:line="276" w:lineRule="auto"/>
        <w:jc w:val="center"/>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“SHTOJCË”</w:t>
      </w:r>
    </w:p>
    <w:p w:rsidR="00507D93" w:rsidRPr="005B7AC3" w:rsidRDefault="00507D93" w:rsidP="00507D93">
      <w:pPr>
        <w:spacing w:after="0" w:line="276" w:lineRule="auto"/>
        <w:jc w:val="center"/>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 xml:space="preserve"> 1</w:t>
      </w:r>
    </w:p>
    <w:p w:rsidR="00507D93" w:rsidRPr="005B7AC3" w:rsidRDefault="00507D93" w:rsidP="00507D93">
      <w:pPr>
        <w:spacing w:after="0" w:line="276" w:lineRule="auto"/>
        <w:jc w:val="center"/>
        <w:rPr>
          <w:rFonts w:ascii="Times New Roman" w:eastAsia="Cambria" w:hAnsi="Times New Roman" w:cs="Times New Roman"/>
          <w:sz w:val="24"/>
          <w:szCs w:val="24"/>
          <w:lang w:val="it-IT"/>
        </w:rPr>
      </w:pPr>
    </w:p>
    <w:p w:rsidR="00507D93" w:rsidRPr="005B7AC3" w:rsidRDefault="00507D93" w:rsidP="00507D93">
      <w:pPr>
        <w:spacing w:after="0" w:line="276" w:lineRule="auto"/>
        <w:jc w:val="center"/>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DOKUMENTI I DORËZIMIT PËR MBETJE TË RREZIKSHME</w:t>
      </w:r>
    </w:p>
    <w:p w:rsidR="00507D93" w:rsidRPr="005B7AC3" w:rsidRDefault="00507D93" w:rsidP="00507D93">
      <w:pPr>
        <w:spacing w:after="0" w:line="276" w:lineRule="auto"/>
        <w:jc w:val="both"/>
        <w:rPr>
          <w:rFonts w:ascii="Times New Roman" w:eastAsia="Cambria" w:hAnsi="Times New Roman" w:cs="Times New Roman"/>
          <w:sz w:val="24"/>
          <w:szCs w:val="24"/>
          <w:lang w:val="nl-NL"/>
        </w:rPr>
      </w:pPr>
    </w:p>
    <w:tbl>
      <w:tblPr>
        <w:tblW w:w="10156"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
        <w:gridCol w:w="13"/>
        <w:gridCol w:w="566"/>
        <w:gridCol w:w="339"/>
        <w:gridCol w:w="357"/>
        <w:gridCol w:w="212"/>
        <w:gridCol w:w="511"/>
        <w:gridCol w:w="518"/>
        <w:gridCol w:w="723"/>
        <w:gridCol w:w="447"/>
        <w:gridCol w:w="324"/>
        <w:gridCol w:w="350"/>
        <w:gridCol w:w="31"/>
        <w:gridCol w:w="8"/>
        <w:gridCol w:w="155"/>
        <w:gridCol w:w="118"/>
        <w:gridCol w:w="828"/>
        <w:gridCol w:w="61"/>
        <w:gridCol w:w="526"/>
        <w:gridCol w:w="599"/>
        <w:gridCol w:w="148"/>
        <w:gridCol w:w="625"/>
        <w:gridCol w:w="621"/>
        <w:gridCol w:w="424"/>
        <w:gridCol w:w="1316"/>
      </w:tblGrid>
      <w:tr w:rsidR="005B7AC3" w:rsidRPr="005B7AC3" w:rsidTr="00B37F08">
        <w:tc>
          <w:tcPr>
            <w:tcW w:w="10080" w:type="dxa"/>
            <w:gridSpan w:val="25"/>
          </w:tcPr>
          <w:p w:rsidR="00507D93" w:rsidRPr="005B7AC3" w:rsidRDefault="00507D93" w:rsidP="00507D93">
            <w:pPr>
              <w:spacing w:after="0" w:line="276" w:lineRule="auto"/>
              <w:jc w:val="right"/>
              <w:rPr>
                <w:rFonts w:ascii="Times New Roman" w:eastAsia="Cambria" w:hAnsi="Times New Roman" w:cs="Times New Roman"/>
                <w:sz w:val="24"/>
                <w:szCs w:val="24"/>
                <w:lang w:val="nl-NL"/>
              </w:rPr>
            </w:pPr>
            <w:r w:rsidRPr="005B7AC3">
              <w:rPr>
                <w:rFonts w:ascii="Times New Roman" w:eastAsia="Cambria" w:hAnsi="Times New Roman" w:cs="Times New Roman"/>
                <w:sz w:val="24"/>
                <w:szCs w:val="24"/>
                <w:lang w:val="nl-NL"/>
              </w:rPr>
              <w:t>Kopja e Dërguesit të ngarkesës</w:t>
            </w:r>
          </w:p>
          <w:p w:rsidR="00507D93" w:rsidRPr="005B7AC3" w:rsidRDefault="00507D93" w:rsidP="00507D93">
            <w:pPr>
              <w:spacing w:after="0" w:line="276" w:lineRule="auto"/>
              <w:jc w:val="right"/>
              <w:rPr>
                <w:rFonts w:ascii="Times New Roman" w:eastAsia="Cambria" w:hAnsi="Times New Roman" w:cs="Times New Roman"/>
                <w:sz w:val="24"/>
                <w:szCs w:val="24"/>
                <w:lang w:val="nl-NL"/>
              </w:rPr>
            </w:pPr>
            <w:r w:rsidRPr="005B7AC3">
              <w:rPr>
                <w:rFonts w:ascii="Times New Roman" w:eastAsia="Cambria" w:hAnsi="Times New Roman" w:cs="Times New Roman"/>
                <w:sz w:val="24"/>
                <w:szCs w:val="24"/>
                <w:lang w:val="nl-NL"/>
              </w:rPr>
              <w:t>Kopja e Transportuesit</w:t>
            </w:r>
          </w:p>
          <w:p w:rsidR="00507D93" w:rsidRPr="005B7AC3" w:rsidRDefault="00507D93" w:rsidP="00507D93">
            <w:pPr>
              <w:spacing w:after="0" w:line="276" w:lineRule="auto"/>
              <w:jc w:val="right"/>
              <w:rPr>
                <w:rFonts w:ascii="Times New Roman" w:eastAsia="Cambria" w:hAnsi="Times New Roman" w:cs="Times New Roman"/>
                <w:sz w:val="24"/>
                <w:szCs w:val="24"/>
                <w:lang w:val="nl-NL"/>
              </w:rPr>
            </w:pPr>
            <w:r w:rsidRPr="005B7AC3">
              <w:rPr>
                <w:rFonts w:ascii="Times New Roman" w:eastAsia="Cambria" w:hAnsi="Times New Roman" w:cs="Times New Roman"/>
                <w:sz w:val="24"/>
                <w:szCs w:val="24"/>
                <w:lang w:val="nl-NL"/>
              </w:rPr>
              <w:t>Kopja e Marrësit të ngarkesës</w:t>
            </w:r>
          </w:p>
          <w:p w:rsidR="00507D93" w:rsidRPr="005B7AC3" w:rsidRDefault="00507D93" w:rsidP="00507D93">
            <w:pPr>
              <w:spacing w:after="0" w:line="276" w:lineRule="auto"/>
              <w:jc w:val="right"/>
              <w:rPr>
                <w:rFonts w:ascii="Times New Roman" w:eastAsia="Cambria" w:hAnsi="Times New Roman" w:cs="Times New Roman"/>
                <w:sz w:val="24"/>
                <w:szCs w:val="24"/>
                <w:lang w:val="nl-NL"/>
              </w:rPr>
            </w:pPr>
            <w:r w:rsidRPr="005B7AC3">
              <w:rPr>
                <w:rFonts w:ascii="Times New Roman" w:eastAsia="Cambria" w:hAnsi="Times New Roman" w:cs="Times New Roman"/>
                <w:sz w:val="24"/>
                <w:szCs w:val="24"/>
                <w:lang w:val="nl-NL"/>
              </w:rPr>
              <w:t>(ruani vetëm emërtimin që është i vërtetë dhe fshini atë që është i tepërt)</w:t>
            </w: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r w:rsidRPr="005B7AC3">
              <w:rPr>
                <w:rFonts w:ascii="Times New Roman" w:eastAsia="Cambria" w:hAnsi="Times New Roman" w:cs="Times New Roman"/>
                <w:sz w:val="24"/>
                <w:szCs w:val="24"/>
                <w:lang w:val="pt-BR"/>
              </w:rPr>
              <w:t xml:space="preserve">Pjesa A. Detajet e Njoftimit  </w:t>
            </w: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w:t>
            </w: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Kodi Unik i Dokumentit të Dorëzimit</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2</w:t>
            </w:r>
          </w:p>
        </w:tc>
        <w:tc>
          <w:tcPr>
            <w:tcW w:w="9744" w:type="dxa"/>
            <w:gridSpan w:val="2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Mbetjet e rrezikshme të përshkruara ne shkronjën B do të largohen nga Dorëzuesi (Krijuesi):</w:t>
            </w: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 Emri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b. Adresa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c. Telefoni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 E-maili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e. Faksi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numPr>
                <w:ilvl w:val="0"/>
                <w:numId w:val="6"/>
              </w:num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pt-BR"/>
              </w:rPr>
              <w:t>Numri i Regjistrimit (NIPT)</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numPr>
                <w:ilvl w:val="0"/>
                <w:numId w:val="6"/>
              </w:num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Nr. i lejes së mjedisit III.1</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numPr>
                <w:ilvl w:val="0"/>
                <w:numId w:val="6"/>
              </w:num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Nr. e liçencës të tipit III.2 B</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3</w:t>
            </w:r>
          </w:p>
        </w:tc>
        <w:tc>
          <w:tcPr>
            <w:tcW w:w="9744" w:type="dxa"/>
            <w:gridSpan w:val="2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Mbetjet e rrezikshme do të dërgohen tek:</w:t>
            </w: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 Emri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b. Adresa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c. Telefoni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 E-maili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f. Faksi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4</w:t>
            </w:r>
          </w:p>
        </w:tc>
        <w:tc>
          <w:tcPr>
            <w:tcW w:w="9744" w:type="dxa"/>
            <w:gridSpan w:val="2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Dorëzuesi i mbetjeve të rrezikshme (nëse i ndryshëm nga Krijuesi) është (grumbulluesi, agjenti ose tregtari) zgjidh cili jeni:</w:t>
            </w: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 Emri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b. Adresa</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c. Telefoni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 E-maili</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e. Faksi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pt-BR"/>
              </w:rPr>
              <w:t>f.Numri i Regjistrimit (NIPT)</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g.Nr. i lejes së mjedisit III.1</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 xml:space="preserve">h.Nr. e liçencës të tipit III.2.B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5</w:t>
            </w: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 Emri</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b. Adresa</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c. Telefoni</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 E-maili</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e. Faksi </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pt-BR"/>
              </w:rPr>
              <w:t>f.Numri i Regjistrimit (NIPT)</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305" w:type="dxa"/>
            <w:gridSpan w:val="1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g.Nr. i lejes së mjedisit III.1</w:t>
            </w:r>
          </w:p>
        </w:tc>
        <w:tc>
          <w:tcPr>
            <w:tcW w:w="5439" w:type="dxa"/>
            <w:gridSpan w:val="1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49" w:type="dxa"/>
            <w:gridSpan w:val="2"/>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4265" w:type="dxa"/>
            <w:gridSpan w:val="10"/>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it-IT"/>
              </w:rPr>
              <w:t>h.Nr. e liçencës të tipit III.2.B</w:t>
            </w:r>
          </w:p>
        </w:tc>
        <w:tc>
          <w:tcPr>
            <w:tcW w:w="5466" w:type="dxa"/>
            <w:gridSpan w:val="13"/>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Pjesa B. Përshkrimi i mbetjeve të rrezikshme </w:t>
            </w:r>
          </w:p>
        </w:tc>
      </w:tr>
      <w:tr w:rsidR="005B7AC3" w:rsidRPr="005B7AC3" w:rsidTr="00B37F08">
        <w:tc>
          <w:tcPr>
            <w:tcW w:w="336"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1 </w:t>
            </w:r>
          </w:p>
        </w:tc>
        <w:tc>
          <w:tcPr>
            <w:tcW w:w="4312" w:type="dxa"/>
            <w:gridSpan w:val="1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Proçesi/veprimtaria që krijoi (gjeneroi) mbetje të rrezikshme ishte: </w:t>
            </w:r>
          </w:p>
        </w:tc>
        <w:tc>
          <w:tcPr>
            <w:tcW w:w="5432" w:type="dxa"/>
            <w:gridSpan w:val="11"/>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2</w:t>
            </w:r>
          </w:p>
        </w:tc>
        <w:tc>
          <w:tcPr>
            <w:tcW w:w="9744" w:type="dxa"/>
            <w:gridSpan w:val="2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Detaje për mbetjet:</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(Kur grumbullohet më shumë se një lloj mbetje, gjithë informacioni i mëposhtëm duhet plotësuar për secilën mbetje të identifikuar sipas Katallogut Shqiptar të Mbetjeve)</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(Vazhdoni në fletë të re nqse është e nevojshme)</w:t>
            </w: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80" w:type="dxa"/>
            <w:gridSpan w:val="4"/>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Përshkrimi i mbetjes</w:t>
            </w:r>
          </w:p>
        </w:tc>
        <w:tc>
          <w:tcPr>
            <w:tcW w:w="1219" w:type="dxa"/>
            <w:gridSpan w:val="3"/>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Kodi (6 shifror) sipas Katallogut Shqiptar të Mbetjeve</w:t>
            </w:r>
          </w:p>
        </w:tc>
        <w:tc>
          <w:tcPr>
            <w:tcW w:w="707" w:type="dxa"/>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Sasia (kg)</w:t>
            </w:r>
          </w:p>
        </w:tc>
        <w:tc>
          <w:tcPr>
            <w:tcW w:w="280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Komponentët kimikë/ biologjikë të mbetjeve dhe përqendrimet e tyre janë:</w:t>
            </w:r>
          </w:p>
        </w:tc>
        <w:tc>
          <w:tcPr>
            <w:tcW w:w="1452" w:type="dxa"/>
            <w:gridSpan w:val="3"/>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Forma fizike (e gaztë, e lëngët, e ngurtë, pluhur, llum, apo e përzier</w:t>
            </w:r>
          </w:p>
        </w:tc>
        <w:tc>
          <w:tcPr>
            <w:tcW w:w="1047" w:type="dxa"/>
            <w:gridSpan w:val="2"/>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Kodi (et) e Rrezikut</w:t>
            </w:r>
          </w:p>
        </w:tc>
        <w:tc>
          <w:tcPr>
            <w:tcW w:w="1234" w:type="dxa"/>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Lloji i kontenierit, numri dhe madhësia)</w:t>
            </w: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c>
          <w:tcPr>
            <w:tcW w:w="1280" w:type="dxa"/>
            <w:gridSpan w:val="4"/>
            <w:vMerge/>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c>
          <w:tcPr>
            <w:tcW w:w="1219" w:type="dxa"/>
            <w:gridSpan w:val="3"/>
            <w:vMerge/>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c>
          <w:tcPr>
            <w:tcW w:w="707"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c>
          <w:tcPr>
            <w:tcW w:w="139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Komponenti</w:t>
            </w:r>
          </w:p>
        </w:tc>
        <w:tc>
          <w:tcPr>
            <w:tcW w:w="14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Përqendrimi</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 ose mg/kg) </w:t>
            </w:r>
          </w:p>
        </w:tc>
        <w:tc>
          <w:tcPr>
            <w:tcW w:w="1452" w:type="dxa"/>
            <w:gridSpan w:val="3"/>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047" w:type="dxa"/>
            <w:gridSpan w:val="2"/>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34"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8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19"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707"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39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4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452"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047" w:type="dxa"/>
            <w:gridSpan w:val="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34"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8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19"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707"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39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4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452"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047" w:type="dxa"/>
            <w:gridSpan w:val="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34"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8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19"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707"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39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4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452"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047" w:type="dxa"/>
            <w:gridSpan w:val="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234" w:type="dxa"/>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val="restart"/>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3</w:t>
            </w:r>
          </w:p>
        </w:tc>
        <w:tc>
          <w:tcPr>
            <w:tcW w:w="9744" w:type="dxa"/>
            <w:gridSpan w:val="2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Mbetjet të indentifikuar sipas Katallogut Shqiptar të Mbetjeve, të plotësohen sipas informacionit të mëposhtëm:</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1975"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Kodi sipas Katallogut Shqiptar të Mbetjeve</w:t>
            </w:r>
          </w:p>
        </w:tc>
        <w:tc>
          <w:tcPr>
            <w:tcW w:w="1953"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 xml:space="preserve">Lloji i (e) Amballazhit (p.sh. palet, fuçi, kontenier etj)  </w:t>
            </w:r>
          </w:p>
        </w:tc>
        <w:tc>
          <w:tcPr>
            <w:tcW w:w="1557"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da-DK"/>
              </w:rPr>
              <w:t>Lloji i transportit të duhur (rrugor ose hekurudhor)</w:t>
            </w:r>
          </w:p>
        </w:tc>
        <w:tc>
          <w:tcPr>
            <w:tcW w:w="1316" w:type="dxa"/>
            <w:gridSpan w:val="3"/>
            <w:tcBorders>
              <w:right w:val="single" w:sz="4" w:space="0" w:color="auto"/>
            </w:tcBorders>
          </w:tcPr>
          <w:p w:rsidR="00507D93" w:rsidRPr="005B7AC3" w:rsidRDefault="00507D93" w:rsidP="00507D93">
            <w:pPr>
              <w:spacing w:after="0" w:line="276" w:lineRule="auto"/>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da-DK"/>
              </w:rPr>
              <w:t xml:space="preserve">Kërkesa të veçanta gjatë transportit  </w:t>
            </w:r>
          </w:p>
        </w:tc>
        <w:tc>
          <w:tcPr>
            <w:tcW w:w="1283" w:type="dxa"/>
            <w:gridSpan w:val="2"/>
            <w:tcBorders>
              <w:left w:val="single" w:sz="4" w:space="0" w:color="auto"/>
              <w:right w:val="single" w:sz="4" w:space="0" w:color="auto"/>
            </w:tcBorders>
          </w:tcPr>
          <w:p w:rsidR="00507D93" w:rsidRPr="005B7AC3" w:rsidRDefault="00507D93" w:rsidP="00507D93">
            <w:pPr>
              <w:spacing w:after="0" w:line="276" w:lineRule="auto"/>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da-DK"/>
              </w:rPr>
              <w:t>Tipi i automjetit</w:t>
            </w:r>
          </w:p>
        </w:tc>
        <w:tc>
          <w:tcPr>
            <w:tcW w:w="1660" w:type="dxa"/>
            <w:gridSpan w:val="2"/>
            <w:tcBorders>
              <w:left w:val="single" w:sz="4" w:space="0" w:color="auto"/>
            </w:tcBorders>
          </w:tcPr>
          <w:p w:rsidR="00507D93" w:rsidRPr="005B7AC3" w:rsidRDefault="00507D93" w:rsidP="00507D93">
            <w:pPr>
              <w:spacing w:after="0" w:line="276" w:lineRule="auto"/>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da-DK"/>
              </w:rPr>
              <w:t>Numri UN</w:t>
            </w: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975"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953"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557"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316" w:type="dxa"/>
            <w:gridSpan w:val="3"/>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283" w:type="dxa"/>
            <w:gridSpan w:val="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660" w:type="dxa"/>
            <w:gridSpan w:val="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975"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953"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557"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316" w:type="dxa"/>
            <w:gridSpan w:val="3"/>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283" w:type="dxa"/>
            <w:gridSpan w:val="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660" w:type="dxa"/>
            <w:gridSpan w:val="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r>
      <w:tr w:rsidR="005B7AC3" w:rsidRPr="005B7AC3" w:rsidTr="00B37F08">
        <w:tc>
          <w:tcPr>
            <w:tcW w:w="336" w:type="dxa"/>
            <w:vMerge/>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975"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953"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557"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316" w:type="dxa"/>
            <w:gridSpan w:val="3"/>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283" w:type="dxa"/>
            <w:gridSpan w:val="2"/>
            <w:tcBorders>
              <w:left w:val="single" w:sz="4" w:space="0" w:color="auto"/>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c>
          <w:tcPr>
            <w:tcW w:w="1660" w:type="dxa"/>
            <w:gridSpan w:val="2"/>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Pjesa C. Vërtetimi i Transportuesit</w:t>
            </w: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Vërtetoj se sot mora ngarkesën dhe se detajet në A2, A3 dhe B2, dhe sipas rastit B3, janë të sakta dhe jam vënë në dijeni për cdo kërkesë specifike për trajtimin e tyre.</w:t>
            </w: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Emri</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2</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Në emër të (emri i </w:t>
            </w:r>
            <w:r w:rsidRPr="005B7AC3">
              <w:rPr>
                <w:rFonts w:ascii="Times New Roman" w:eastAsia="Cambria" w:hAnsi="Times New Roman" w:cs="Times New Roman"/>
                <w:sz w:val="24"/>
                <w:szCs w:val="24"/>
                <w:lang w:val="en-GB"/>
              </w:rPr>
              <w:lastRenderedPageBreak/>
              <w:t>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lastRenderedPageBreak/>
              <w:t>3</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Emri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4</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Adresa e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5</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Telefoni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6</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E-maili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7</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Faksi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8</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r w:rsidRPr="005B7AC3">
              <w:rPr>
                <w:rFonts w:ascii="Times New Roman" w:eastAsia="Cambria" w:hAnsi="Times New Roman" w:cs="Times New Roman"/>
                <w:sz w:val="24"/>
                <w:szCs w:val="24"/>
                <w:lang w:val="pt-BR"/>
              </w:rPr>
              <w:t>Numri i Regjistrimit të Transportuesit (NIPT)</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9</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Numri i regjistrimit të automjetit (Targa)</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10</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Nr. i lejes së mjedisit III.1</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11</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Nr. e liçencës të tipit III/2 B</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12</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Nr. i çertifikatës së miratimit të mjetit sipas ADR ose RID</w:t>
            </w:r>
          </w:p>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Data e miratimit dhe e mbarimit të afatit të vlefshmërisë së çertifikatës.</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13</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Nënshkrimi</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14</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Data e nisjes</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15</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Ora e nisjes</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Pjesa D. Vërtetimi i Dorëzuesit të ngarkesës </w:t>
            </w: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Vërtetoj se informacioni në A, B dhe C është i saktë. Transportuesi është i regjistruar dhe është vënë në dijeni për të gjitha masat e duhura përkujdesëse. Gjithashtu vërtetoj se të gjitha mbetjet e rrezikshme janë amballazhuar dhe etiketuar sic duhet dhe Transportuesi është vënë në dijeni për çdo kërkesë specifike për mënyrën e transportimit të tyre.</w:t>
            </w: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Emri</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2</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 emër të (emri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3</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Emri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4</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Adresa e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5</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Telefoni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6</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E-maili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7</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Faksi i kompanisë</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8</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Nënshkrimi</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9</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Data e dorëzimit</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254"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10</w:t>
            </w:r>
          </w:p>
        </w:tc>
        <w:tc>
          <w:tcPr>
            <w:tcW w:w="3010" w:type="dxa"/>
            <w:gridSpan w:val="7"/>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Ora e dorëzimit</w:t>
            </w:r>
          </w:p>
        </w:tc>
        <w:tc>
          <w:tcPr>
            <w:tcW w:w="5816" w:type="dxa"/>
            <w:gridSpan w:val="14"/>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Pjesa E. Vërtetimi i Marrësit të ngarkesës </w:t>
            </w:r>
          </w:p>
        </w:tc>
      </w:tr>
      <w:tr w:rsidR="005B7AC3" w:rsidRPr="005B7AC3" w:rsidTr="00B37F08">
        <w:tc>
          <w:tcPr>
            <w:tcW w:w="10080"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 rastet kur merret më shumë se një lloj mbetje, i gjithë informacioni i mëposhtëm duhet plotësuar për çdo mbetje të Katallogut Shqiptar të Mbetjeve.</w:t>
            </w:r>
          </w:p>
        </w:tc>
      </w:tr>
      <w:tr w:rsidR="005B7AC3" w:rsidRPr="005B7AC3" w:rsidTr="00B37F08">
        <w:tc>
          <w:tcPr>
            <w:tcW w:w="1800" w:type="dxa"/>
            <w:gridSpan w:val="6"/>
          </w:tcPr>
          <w:p w:rsidR="00507D93" w:rsidRPr="005B7AC3" w:rsidRDefault="00507D93" w:rsidP="00507D93">
            <w:pPr>
              <w:spacing w:after="0" w:line="276"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Kodi(et) i (e) Mbetjeve të  </w:t>
            </w:r>
            <w:r w:rsidRPr="005B7AC3">
              <w:rPr>
                <w:rFonts w:ascii="Times New Roman" w:eastAsia="Cambria" w:hAnsi="Times New Roman" w:cs="Times New Roman"/>
                <w:sz w:val="24"/>
                <w:szCs w:val="24"/>
                <w:lang w:val="en-GB"/>
              </w:rPr>
              <w:lastRenderedPageBreak/>
              <w:t>marra në dorëzim sipasKatallogut Shqiptar të Mbetjeve</w:t>
            </w:r>
          </w:p>
        </w:tc>
        <w:tc>
          <w:tcPr>
            <w:tcW w:w="2160" w:type="dxa"/>
            <w:gridSpan w:val="4"/>
          </w:tcPr>
          <w:p w:rsidR="00507D93" w:rsidRPr="005B7AC3" w:rsidRDefault="00507D93" w:rsidP="00507D93">
            <w:pPr>
              <w:spacing w:after="0" w:line="276"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lastRenderedPageBreak/>
              <w:t xml:space="preserve">Sasia e marrë në dorëzim (kg) për </w:t>
            </w:r>
            <w:r w:rsidRPr="005B7AC3">
              <w:rPr>
                <w:rFonts w:ascii="Times New Roman" w:eastAsia="Cambria" w:hAnsi="Times New Roman" w:cs="Times New Roman"/>
                <w:sz w:val="24"/>
                <w:szCs w:val="24"/>
                <w:lang w:val="en-GB"/>
              </w:rPr>
              <w:lastRenderedPageBreak/>
              <w:t>çdo kod sipasKatallogut Shqiptar të Mbetjeve</w:t>
            </w:r>
          </w:p>
        </w:tc>
        <w:tc>
          <w:tcPr>
            <w:tcW w:w="1800" w:type="dxa"/>
            <w:gridSpan w:val="7"/>
            <w:tcBorders>
              <w:right w:val="single" w:sz="4" w:space="0" w:color="auto"/>
            </w:tcBorders>
          </w:tcPr>
          <w:p w:rsidR="00507D93" w:rsidRPr="005B7AC3" w:rsidRDefault="00507D93" w:rsidP="00507D93">
            <w:pPr>
              <w:spacing w:after="0" w:line="276"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lastRenderedPageBreak/>
              <w:t xml:space="preserve">Kodi i mbetjeve të refuzuara </w:t>
            </w:r>
            <w:r w:rsidRPr="005B7AC3">
              <w:rPr>
                <w:rFonts w:ascii="Times New Roman" w:eastAsia="Cambria" w:hAnsi="Times New Roman" w:cs="Times New Roman"/>
                <w:sz w:val="24"/>
                <w:szCs w:val="24"/>
                <w:lang w:val="en-GB"/>
              </w:rPr>
              <w:lastRenderedPageBreak/>
              <w:t>sipasKatallogut Shqiptar</w:t>
            </w:r>
          </w:p>
          <w:p w:rsidR="00507D93" w:rsidRPr="005B7AC3" w:rsidRDefault="00507D93" w:rsidP="00507D93">
            <w:pPr>
              <w:spacing w:after="0" w:line="276"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të Mbetjeve</w:t>
            </w:r>
          </w:p>
        </w:tc>
        <w:tc>
          <w:tcPr>
            <w:tcW w:w="1229" w:type="dxa"/>
            <w:gridSpan w:val="3"/>
            <w:tcBorders>
              <w:left w:val="single" w:sz="4" w:space="0" w:color="auto"/>
            </w:tcBorders>
          </w:tcPr>
          <w:p w:rsidR="00507D93" w:rsidRPr="005B7AC3" w:rsidRDefault="00507D93" w:rsidP="00507D93">
            <w:pPr>
              <w:spacing w:after="200" w:line="276"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lastRenderedPageBreak/>
              <w:t xml:space="preserve">Sasia e mbetjeve </w:t>
            </w:r>
            <w:r w:rsidRPr="005B7AC3">
              <w:rPr>
                <w:rFonts w:ascii="Times New Roman" w:eastAsia="Cambria" w:hAnsi="Times New Roman" w:cs="Times New Roman"/>
                <w:sz w:val="24"/>
                <w:szCs w:val="24"/>
                <w:lang w:val="en-GB"/>
              </w:rPr>
              <w:lastRenderedPageBreak/>
              <w:t>të refuzuara</w:t>
            </w:r>
          </w:p>
          <w:p w:rsidR="00507D93" w:rsidRPr="005B7AC3" w:rsidRDefault="00507D93" w:rsidP="00507D93">
            <w:pPr>
              <w:spacing w:after="200" w:line="276" w:lineRule="auto"/>
              <w:rPr>
                <w:rFonts w:ascii="Times New Roman" w:eastAsia="Cambria" w:hAnsi="Times New Roman" w:cs="Times New Roman"/>
                <w:sz w:val="24"/>
                <w:szCs w:val="24"/>
                <w:lang w:val="en-GB"/>
              </w:rPr>
            </w:pPr>
          </w:p>
          <w:p w:rsidR="00507D93" w:rsidRPr="005B7AC3" w:rsidRDefault="00507D93" w:rsidP="00507D93">
            <w:pPr>
              <w:spacing w:after="0" w:line="276" w:lineRule="auto"/>
              <w:rPr>
                <w:rFonts w:ascii="Times New Roman" w:eastAsia="Cambria" w:hAnsi="Times New Roman" w:cs="Times New Roman"/>
                <w:sz w:val="24"/>
                <w:szCs w:val="24"/>
                <w:lang w:val="en-GB"/>
              </w:rPr>
            </w:pPr>
          </w:p>
        </w:tc>
        <w:tc>
          <w:tcPr>
            <w:tcW w:w="3091" w:type="dxa"/>
            <w:gridSpan w:val="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r w:rsidRPr="005B7AC3">
              <w:rPr>
                <w:rFonts w:ascii="Times New Roman" w:eastAsia="Cambria" w:hAnsi="Times New Roman" w:cs="Times New Roman"/>
                <w:sz w:val="24"/>
                <w:szCs w:val="24"/>
                <w:lang w:val="pt-BR"/>
              </w:rPr>
              <w:lastRenderedPageBreak/>
              <w:t>Operacioni i menaxhimit</w:t>
            </w:r>
          </w:p>
          <w:p w:rsidR="00507D93" w:rsidRPr="005B7AC3" w:rsidRDefault="00507D93" w:rsidP="00507D93">
            <w:pPr>
              <w:spacing w:after="0" w:line="276" w:lineRule="auto"/>
              <w:jc w:val="both"/>
              <w:rPr>
                <w:rFonts w:ascii="Times New Roman" w:eastAsia="Cambria" w:hAnsi="Times New Roman" w:cs="Times New Roman"/>
                <w:sz w:val="24"/>
                <w:szCs w:val="24"/>
                <w:lang w:val="pt-BR"/>
              </w:rPr>
            </w:pPr>
            <w:r w:rsidRPr="005B7AC3">
              <w:rPr>
                <w:rFonts w:ascii="Times New Roman" w:eastAsia="Cambria" w:hAnsi="Times New Roman" w:cs="Times New Roman"/>
                <w:sz w:val="24"/>
                <w:szCs w:val="24"/>
                <w:lang w:val="pt-BR"/>
              </w:rPr>
              <w:t xml:space="preserve"> të mbetjeve (kodi R ose D)</w:t>
            </w:r>
          </w:p>
        </w:tc>
      </w:tr>
      <w:tr w:rsidR="005B7AC3" w:rsidRPr="005B7AC3" w:rsidTr="00B37F08">
        <w:tc>
          <w:tcPr>
            <w:tcW w:w="1800"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216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800" w:type="dxa"/>
            <w:gridSpan w:val="7"/>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229" w:type="dxa"/>
            <w:gridSpan w:val="3"/>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3167" w:type="dxa"/>
            <w:gridSpan w:val="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r>
      <w:tr w:rsidR="005B7AC3" w:rsidRPr="005B7AC3" w:rsidTr="00B37F08">
        <w:tc>
          <w:tcPr>
            <w:tcW w:w="1800"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216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800" w:type="dxa"/>
            <w:gridSpan w:val="7"/>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229" w:type="dxa"/>
            <w:gridSpan w:val="3"/>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3167" w:type="dxa"/>
            <w:gridSpan w:val="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r>
      <w:tr w:rsidR="005B7AC3" w:rsidRPr="005B7AC3" w:rsidTr="00B37F08">
        <w:tc>
          <w:tcPr>
            <w:tcW w:w="1800"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216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800" w:type="dxa"/>
            <w:gridSpan w:val="7"/>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229" w:type="dxa"/>
            <w:gridSpan w:val="3"/>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3167" w:type="dxa"/>
            <w:gridSpan w:val="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r>
      <w:tr w:rsidR="005B7AC3" w:rsidRPr="005B7AC3" w:rsidTr="00B37F08">
        <w:tc>
          <w:tcPr>
            <w:tcW w:w="1800" w:type="dxa"/>
            <w:gridSpan w:val="6"/>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2160" w:type="dxa"/>
            <w:gridSpan w:val="4"/>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800" w:type="dxa"/>
            <w:gridSpan w:val="7"/>
            <w:tcBorders>
              <w:righ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1229" w:type="dxa"/>
            <w:gridSpan w:val="3"/>
            <w:tcBorders>
              <w:left w:val="single" w:sz="4" w:space="0" w:color="auto"/>
            </w:tcBorders>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c>
          <w:tcPr>
            <w:tcW w:w="3167" w:type="dxa"/>
            <w:gridSpan w:val="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r>
      <w:tr w:rsidR="005B7AC3" w:rsidRPr="005B7AC3" w:rsidTr="00B37F08">
        <w:tc>
          <w:tcPr>
            <w:tcW w:w="10156" w:type="dxa"/>
            <w:gridSpan w:val="25"/>
          </w:tcPr>
          <w:p w:rsidR="00507D93" w:rsidRPr="005B7AC3" w:rsidRDefault="00507D93" w:rsidP="00507D93">
            <w:pPr>
              <w:spacing w:after="0" w:line="276" w:lineRule="auto"/>
              <w:jc w:val="both"/>
              <w:rPr>
                <w:rFonts w:ascii="Times New Roman" w:eastAsia="Cambria" w:hAnsi="Times New Roman" w:cs="Times New Roman"/>
                <w:sz w:val="24"/>
                <w:szCs w:val="24"/>
                <w:lang w:val="pt-BR"/>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w:t>
            </w:r>
          </w:p>
        </w:tc>
        <w:tc>
          <w:tcPr>
            <w:tcW w:w="9241" w:type="dxa"/>
            <w:gridSpan w:val="2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Vërtetoj se i kam marrë këto mbetje në adresën e dhënë në A3 më:</w:t>
            </w: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Data e marrjes </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Ora e marrjes </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2</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Numri i regjistrimit të automjetit (Targa)</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it-IT"/>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4</w:t>
            </w:r>
          </w:p>
        </w:tc>
        <w:tc>
          <w:tcPr>
            <w:tcW w:w="9241" w:type="dxa"/>
            <w:gridSpan w:val="2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Vërtetoj se Leja e Mjedisit autorizon menaxhimin e mbetjeve të përshkruara në B në adresën e dhënë në A3:</w:t>
            </w: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5</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da-DK"/>
              </w:rPr>
              <w:t>Numri i Lejes së Mjedisit</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6</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da-DK"/>
              </w:rPr>
              <w:t xml:space="preserve">Numri i liçencës </w:t>
            </w:r>
            <w:r w:rsidRPr="005B7AC3">
              <w:rPr>
                <w:rFonts w:ascii="Times New Roman" w:eastAsia="Cambria" w:hAnsi="Times New Roman" w:cs="Times New Roman"/>
                <w:sz w:val="24"/>
                <w:szCs w:val="24"/>
                <w:lang w:val="it-IT"/>
              </w:rPr>
              <w:t>III.2.B</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da-DK"/>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7</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Emri i personit të autorizuar për marrjen e mbetjeve të rrezikshme</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8</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 emër të (emri i Kompanisë)</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9</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Emri i kompanisë</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10</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Adresa e kompanisë</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11</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Telefoni i kompanisë</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12</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E-maili i kompanisë</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13</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Faksi i kompanisë</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14</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Lutemi jepni detaje, për rastet kur mbetjet refuzohen:</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15</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Data e refuzimit</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16</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Ora e refuzimit</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17</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Nënshkrimi</w:t>
            </w: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r w:rsidR="005B7AC3" w:rsidRPr="005B7AC3" w:rsidTr="00B37F08">
        <w:tc>
          <w:tcPr>
            <w:tcW w:w="915" w:type="dxa"/>
            <w:gridSpan w:val="3"/>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18</w:t>
            </w:r>
          </w:p>
        </w:tc>
        <w:tc>
          <w:tcPr>
            <w:tcW w:w="3896" w:type="dxa"/>
            <w:gridSpan w:val="12"/>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Pikat e kontaktit në rast emergjence gjatë transportit të mbetjeve të rrezikshme:</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Dërguesi:</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Transportuesi:</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Marrësi:</w:t>
            </w: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c>
          <w:tcPr>
            <w:tcW w:w="5345" w:type="dxa"/>
            <w:gridSpan w:val="10"/>
          </w:tcPr>
          <w:p w:rsidR="00507D93" w:rsidRPr="005B7AC3" w:rsidRDefault="00507D93" w:rsidP="00507D93">
            <w:pPr>
              <w:spacing w:after="0" w:line="276" w:lineRule="auto"/>
              <w:jc w:val="both"/>
              <w:rPr>
                <w:rFonts w:ascii="Times New Roman" w:eastAsia="Cambria" w:hAnsi="Times New Roman" w:cs="Times New Roman"/>
                <w:sz w:val="24"/>
                <w:szCs w:val="24"/>
                <w:lang w:val="en-GB"/>
              </w:rPr>
            </w:pPr>
          </w:p>
        </w:tc>
      </w:tr>
    </w:tbl>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rPr>
          <w:rFonts w:ascii="Times New Roman" w:eastAsia="Cambria" w:hAnsi="Times New Roman" w:cs="Times New Roman"/>
          <w:sz w:val="24"/>
          <w:szCs w:val="24"/>
          <w:lang w:val="en-GB"/>
        </w:rPr>
      </w:pPr>
    </w:p>
    <w:p w:rsidR="00507D93" w:rsidRPr="005B7AC3" w:rsidRDefault="00507D93" w:rsidP="00507D93">
      <w:pPr>
        <w:spacing w:after="0" w:line="276" w:lineRule="auto"/>
        <w:rPr>
          <w:rFonts w:ascii="Times New Roman" w:eastAsia="Cambria" w:hAnsi="Times New Roman" w:cs="Times New Roman"/>
          <w:sz w:val="24"/>
          <w:szCs w:val="24"/>
          <w:lang w:val="en-GB"/>
        </w:rPr>
      </w:pPr>
    </w:p>
    <w:p w:rsidR="00507D93" w:rsidRPr="005B7AC3" w:rsidRDefault="00507D93" w:rsidP="00507D93">
      <w:pPr>
        <w:spacing w:after="0" w:line="276" w:lineRule="auto"/>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both"/>
        <w:rPr>
          <w:rFonts w:ascii="Times New Roman" w:eastAsia="Cambria" w:hAnsi="Times New Roman" w:cs="Times New Roman"/>
          <w:sz w:val="24"/>
          <w:szCs w:val="24"/>
          <w:lang w:val="en-GB"/>
        </w:rPr>
      </w:pPr>
    </w:p>
    <w:p w:rsidR="000330AE" w:rsidRPr="005B7AC3" w:rsidRDefault="000330AE" w:rsidP="00507D93">
      <w:pPr>
        <w:spacing w:after="0" w:line="276" w:lineRule="auto"/>
        <w:jc w:val="both"/>
        <w:rPr>
          <w:rFonts w:ascii="Times New Roman" w:eastAsia="Cambria" w:hAnsi="Times New Roman" w:cs="Times New Roman"/>
          <w:sz w:val="24"/>
          <w:szCs w:val="24"/>
          <w:lang w:val="en-GB"/>
        </w:rPr>
      </w:pPr>
    </w:p>
    <w:p w:rsidR="00F62844" w:rsidRPr="005B7AC3" w:rsidRDefault="00F62844" w:rsidP="00507D93">
      <w:pPr>
        <w:spacing w:after="0" w:line="276" w:lineRule="auto"/>
        <w:jc w:val="both"/>
        <w:rPr>
          <w:rFonts w:ascii="Times New Roman" w:eastAsia="Cambria" w:hAnsi="Times New Roman" w:cs="Times New Roman"/>
          <w:sz w:val="24"/>
          <w:szCs w:val="24"/>
          <w:lang w:val="en-GB"/>
        </w:rPr>
      </w:pPr>
    </w:p>
    <w:p w:rsidR="00F62844" w:rsidRPr="005B7AC3" w:rsidRDefault="00F62844" w:rsidP="00507D93">
      <w:pPr>
        <w:spacing w:after="0" w:line="276" w:lineRule="auto"/>
        <w:jc w:val="both"/>
        <w:rPr>
          <w:rFonts w:ascii="Times New Roman" w:eastAsia="Cambria" w:hAnsi="Times New Roman" w:cs="Times New Roman"/>
          <w:sz w:val="24"/>
          <w:szCs w:val="24"/>
          <w:lang w:val="en-GB"/>
        </w:rPr>
      </w:pPr>
    </w:p>
    <w:p w:rsidR="00F62844" w:rsidRPr="005B7AC3" w:rsidRDefault="00F62844" w:rsidP="00507D93">
      <w:pPr>
        <w:spacing w:after="0" w:line="276" w:lineRule="auto"/>
        <w:jc w:val="both"/>
        <w:rPr>
          <w:rFonts w:ascii="Times New Roman" w:eastAsia="Cambria" w:hAnsi="Times New Roman" w:cs="Times New Roman"/>
          <w:sz w:val="24"/>
          <w:szCs w:val="24"/>
          <w:lang w:val="en-GB"/>
        </w:rPr>
      </w:pPr>
    </w:p>
    <w:p w:rsidR="000330AE" w:rsidRPr="005B7AC3" w:rsidRDefault="000330AE" w:rsidP="00507D93">
      <w:pPr>
        <w:spacing w:after="0" w:line="276" w:lineRule="auto"/>
        <w:jc w:val="both"/>
        <w:rPr>
          <w:rFonts w:ascii="Times New Roman" w:eastAsia="Cambria" w:hAnsi="Times New Roman" w:cs="Times New Roman"/>
          <w:sz w:val="24"/>
          <w:szCs w:val="24"/>
          <w:lang w:val="en-GB"/>
        </w:rPr>
      </w:pPr>
    </w:p>
    <w:p w:rsidR="000330AE" w:rsidRPr="005B7AC3" w:rsidRDefault="000330AE" w:rsidP="00507D93">
      <w:pPr>
        <w:spacing w:after="0" w:line="276" w:lineRule="auto"/>
        <w:jc w:val="both"/>
        <w:rPr>
          <w:rFonts w:ascii="Times New Roman" w:eastAsia="Cambria" w:hAnsi="Times New Roman" w:cs="Times New Roman"/>
          <w:sz w:val="24"/>
          <w:szCs w:val="24"/>
          <w:lang w:val="en-GB"/>
        </w:rPr>
      </w:pPr>
    </w:p>
    <w:p w:rsidR="000330AE" w:rsidRPr="005B7AC3" w:rsidRDefault="000330AE" w:rsidP="00507D93">
      <w:pPr>
        <w:spacing w:after="0" w:line="276" w:lineRule="auto"/>
        <w:jc w:val="both"/>
        <w:rPr>
          <w:rFonts w:ascii="Times New Roman" w:eastAsia="Cambria" w:hAnsi="Times New Roman" w:cs="Times New Roman"/>
          <w:sz w:val="24"/>
          <w:szCs w:val="24"/>
          <w:lang w:val="en-GB"/>
        </w:rPr>
      </w:pPr>
    </w:p>
    <w:p w:rsidR="000330AE" w:rsidRPr="005B7AC3" w:rsidRDefault="000330AE" w:rsidP="00507D93">
      <w:pPr>
        <w:spacing w:after="0" w:line="276" w:lineRule="auto"/>
        <w:jc w:val="both"/>
        <w:rPr>
          <w:rFonts w:ascii="Times New Roman" w:eastAsia="Cambria" w:hAnsi="Times New Roman" w:cs="Times New Roman"/>
          <w:sz w:val="24"/>
          <w:szCs w:val="24"/>
          <w:lang w:val="en-GB"/>
        </w:rPr>
      </w:pPr>
    </w:p>
    <w:p w:rsidR="00507D93" w:rsidRPr="005B7AC3" w:rsidRDefault="00507D93" w:rsidP="00507D93">
      <w:pPr>
        <w:spacing w:after="0" w:line="276" w:lineRule="auto"/>
        <w:jc w:val="center"/>
        <w:rPr>
          <w:rFonts w:ascii="Times New Roman" w:eastAsia="Cambria" w:hAnsi="Times New Roman" w:cs="Times New Roman"/>
          <w:sz w:val="24"/>
          <w:szCs w:val="24"/>
          <w:lang w:val="it-IT"/>
        </w:rPr>
      </w:pPr>
      <w:r w:rsidRPr="005B7AC3">
        <w:rPr>
          <w:rFonts w:ascii="Times New Roman" w:eastAsia="Cambria" w:hAnsi="Times New Roman" w:cs="Times New Roman"/>
          <w:sz w:val="24"/>
          <w:szCs w:val="24"/>
          <w:lang w:val="it-IT"/>
        </w:rPr>
        <w:t>“SHTOJCË”</w:t>
      </w:r>
    </w:p>
    <w:p w:rsidR="00507D93" w:rsidRPr="005B7AC3" w:rsidRDefault="00507D93" w:rsidP="00507D93">
      <w:pPr>
        <w:spacing w:after="0" w:line="276" w:lineRule="auto"/>
        <w:jc w:val="center"/>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it-IT"/>
        </w:rPr>
        <w:t xml:space="preserve"> 2</w:t>
      </w:r>
    </w:p>
    <w:p w:rsidR="00507D93" w:rsidRPr="005B7AC3" w:rsidRDefault="00507D93" w:rsidP="00507D93">
      <w:pPr>
        <w:spacing w:after="0" w:line="240" w:lineRule="auto"/>
        <w:jc w:val="center"/>
        <w:rPr>
          <w:rFonts w:ascii="Times New Roman" w:eastAsia="ヒラギノ角ゴ Pro W3" w:hAnsi="Times New Roman" w:cs="Times New Roman"/>
          <w:sz w:val="24"/>
          <w:szCs w:val="24"/>
          <w:lang w:val="en-GB"/>
        </w:rPr>
      </w:pPr>
      <w:r w:rsidRPr="005B7AC3">
        <w:rPr>
          <w:rFonts w:ascii="Times New Roman" w:eastAsia="ヒラギノ角ゴ Pro W3" w:hAnsi="Times New Roman" w:cs="Times New Roman"/>
          <w:sz w:val="24"/>
          <w:szCs w:val="24"/>
          <w:lang w:val="en-GB"/>
        </w:rPr>
        <w:t>Metodologjia e përcaktimit të Kodit Unik të Dokumentit të Dorëzimit</w:t>
      </w:r>
    </w:p>
    <w:p w:rsidR="00507D93" w:rsidRPr="005B7AC3" w:rsidRDefault="00507D93" w:rsidP="00507D93">
      <w:pPr>
        <w:spacing w:after="0" w:line="240" w:lineRule="auto"/>
        <w:rPr>
          <w:rFonts w:ascii="Times New Roman" w:eastAsia="Cambria" w:hAnsi="Times New Roman" w:cs="Times New Roman"/>
          <w:sz w:val="24"/>
          <w:szCs w:val="24"/>
          <w:lang w:val="en-GB"/>
        </w:rPr>
      </w:pP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Kodi Unik i Dokumentit të Dorëzimit të mbetjeve të rrezikshme përbëhet nga dy pjesë.</w:t>
      </w: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Cambria" w:hAnsi="Times New Roman" w:cs="Times New Roman"/>
          <w:sz w:val="24"/>
          <w:szCs w:val="24"/>
          <w:lang w:val="en-GB"/>
        </w:rPr>
      </w:pPr>
    </w:p>
    <w:p w:rsidR="00507D93" w:rsidRPr="005B7AC3" w:rsidRDefault="00507D93" w:rsidP="00507D93">
      <w:pPr>
        <w:numPr>
          <w:ilvl w:val="0"/>
          <w:numId w:val="7"/>
        </w:numPr>
        <w:tabs>
          <w:tab w:val="left" w:pos="360"/>
          <w:tab w:val="left" w:pos="720"/>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Pjesa e parë e</w:t>
      </w:r>
      <w:r w:rsidR="009E35DE" w:rsidRPr="005B7AC3">
        <w:rPr>
          <w:rFonts w:ascii="Times New Roman" w:eastAsia="Cambria" w:hAnsi="Times New Roman" w:cs="Times New Roman"/>
          <w:sz w:val="24"/>
          <w:szCs w:val="24"/>
          <w:lang w:val="en-GB"/>
        </w:rPr>
        <w:t xml:space="preserve"> </w:t>
      </w:r>
      <w:r w:rsidRPr="005B7AC3">
        <w:rPr>
          <w:rFonts w:ascii="Times New Roman" w:eastAsia="Cambria" w:hAnsi="Times New Roman" w:cs="Times New Roman"/>
          <w:sz w:val="24"/>
          <w:szCs w:val="24"/>
          <w:lang w:val="en-GB"/>
        </w:rPr>
        <w:t>Kodit Unik</w:t>
      </w:r>
      <w:r w:rsidR="009E35DE" w:rsidRPr="005B7AC3">
        <w:rPr>
          <w:rFonts w:ascii="Times New Roman" w:eastAsia="Cambria" w:hAnsi="Times New Roman" w:cs="Times New Roman"/>
          <w:sz w:val="24"/>
          <w:szCs w:val="24"/>
          <w:lang w:val="en-GB"/>
        </w:rPr>
        <w:t xml:space="preserve"> </w:t>
      </w:r>
      <w:r w:rsidRPr="005B7AC3">
        <w:rPr>
          <w:rFonts w:ascii="Times New Roman" w:eastAsia="ヒラギノ角ゴ Pro W3" w:hAnsi="Times New Roman" w:cs="Times New Roman"/>
          <w:sz w:val="24"/>
          <w:szCs w:val="24"/>
          <w:lang w:val="da-DK"/>
        </w:rPr>
        <w:t>përmban 7 karaktere, nga të cilat 3 të parat janë shkronja dhe pjesa tjetër janë numra natyrorë. 3 shkronjat e para janë inicialet e personit fizik ose juridik ose akronimi i emrit të subjektit. 4 numrat fillojnë me 0001 për subjektin që kërkon i pari pajisjen me Kodin Unik. Më pas vazhdohet me vendosjen e numrave në rend rritës: 0002; 0003; e në vazhdim.</w:t>
      </w: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720"/>
        <w:jc w:val="both"/>
        <w:rPr>
          <w:rFonts w:ascii="Times New Roman" w:eastAsia="Cambria" w:hAnsi="Times New Roman" w:cs="Times New Roman"/>
          <w:sz w:val="24"/>
          <w:szCs w:val="24"/>
          <w:lang w:val="en-GB"/>
        </w:rPr>
      </w:pP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 xml:space="preserve">Shembuj: </w:t>
      </w: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720"/>
        <w:jc w:val="both"/>
        <w:rPr>
          <w:rFonts w:ascii="Times New Roman" w:eastAsia="ヒラギノ角ゴ Pro W3" w:hAnsi="Times New Roman" w:cs="Times New Roman"/>
          <w:sz w:val="24"/>
          <w:szCs w:val="24"/>
          <w:lang w:val="da-DK"/>
        </w:rPr>
      </w:pPr>
    </w:p>
    <w:p w:rsidR="00507D93" w:rsidRPr="005B7AC3" w:rsidRDefault="00507D93" w:rsidP="00507D93">
      <w:pPr>
        <w:numPr>
          <w:ilvl w:val="0"/>
          <w:numId w:val="8"/>
        </w:numPr>
        <w:tabs>
          <w:tab w:val="left" w:pos="360"/>
          <w:tab w:val="left" w:pos="720"/>
          <w:tab w:val="left" w:pos="900"/>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 xml:space="preserve">Nëse personi i parë që kërkon pranë AKM të pajiset me Kodin Unik është Elmaz Kujtim Latifi pjesa e parë e Kodit Unik do të jetë: EKL0001 </w:t>
      </w: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p>
    <w:p w:rsidR="00507D93" w:rsidRPr="005B7AC3" w:rsidRDefault="00507D93" w:rsidP="00507D93">
      <w:pPr>
        <w:numPr>
          <w:ilvl w:val="0"/>
          <w:numId w:val="8"/>
        </w:numPr>
        <w:tabs>
          <w:tab w:val="left" w:pos="360"/>
          <w:tab w:val="left" w:pos="720"/>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both"/>
        <w:rPr>
          <w:rFonts w:ascii="Times New Roman" w:eastAsia="ヒラギノ角ゴ Pro W3" w:hAnsi="Times New Roman" w:cs="Times New Roman"/>
          <w:sz w:val="24"/>
          <w:szCs w:val="24"/>
          <w:lang w:val="da-DK"/>
        </w:rPr>
      </w:pPr>
      <w:r w:rsidRPr="005B7AC3">
        <w:rPr>
          <w:rFonts w:ascii="Times New Roman" w:eastAsia="ヒラギノ角ゴ Pro W3" w:hAnsi="Times New Roman" w:cs="Times New Roman"/>
          <w:sz w:val="24"/>
          <w:szCs w:val="24"/>
          <w:lang w:val="da-DK"/>
        </w:rPr>
        <w:t>Nëse personi i dytë që kërkon pranë AKM të pajiset me Kodin Unik është subjekti General Equipments Albania pjesa e parë e Kodit Unik do të jetë: GEA0001</w:t>
      </w:r>
    </w:p>
    <w:p w:rsidR="00507D93" w:rsidRPr="005B7AC3" w:rsidRDefault="00507D93" w:rsidP="00507D93">
      <w:pPr>
        <w:tabs>
          <w:tab w:val="left" w:pos="36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720"/>
        <w:jc w:val="both"/>
        <w:rPr>
          <w:rFonts w:ascii="Times New Roman" w:eastAsia="Cambria" w:hAnsi="Times New Roman" w:cs="Times New Roman"/>
          <w:sz w:val="24"/>
          <w:szCs w:val="24"/>
          <w:lang w:val="en-GB"/>
        </w:rPr>
      </w:pPr>
    </w:p>
    <w:p w:rsidR="00507D93" w:rsidRPr="005B7AC3" w:rsidRDefault="00507D93" w:rsidP="00507D93">
      <w:pPr>
        <w:numPr>
          <w:ilvl w:val="0"/>
          <w:numId w:val="7"/>
        </w:numPr>
        <w:spacing w:after="0" w:line="240"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Pjesa e dytë e Kodit Unik përmban 4 numra, nga të cilët, 2 numrat e pare tregojnë vitin në të cilin kryhet transferta dhe 2 numrat e tjerë tregojnë numrin e transfertës që po kryhet. Pjesa e dytë e Kodit Unik vendoset nga vetë transferuesi i mbetjeve.</w:t>
      </w:r>
    </w:p>
    <w:p w:rsidR="00507D93" w:rsidRPr="005B7AC3" w:rsidRDefault="00507D93" w:rsidP="00507D93">
      <w:pPr>
        <w:spacing w:after="0" w:line="240" w:lineRule="auto"/>
        <w:rPr>
          <w:rFonts w:ascii="Times New Roman" w:eastAsia="Cambria" w:hAnsi="Times New Roman" w:cs="Times New Roman"/>
          <w:sz w:val="24"/>
          <w:szCs w:val="24"/>
          <w:lang w:val="en-GB"/>
        </w:rPr>
      </w:pPr>
    </w:p>
    <w:p w:rsidR="00507D93" w:rsidRPr="005B7AC3" w:rsidRDefault="00507D93" w:rsidP="00507D93">
      <w:pPr>
        <w:spacing w:after="0" w:line="240"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Shembuj:</w:t>
      </w:r>
    </w:p>
    <w:p w:rsidR="00507D93" w:rsidRPr="005B7AC3" w:rsidRDefault="00507D93" w:rsidP="00507D93">
      <w:pPr>
        <w:spacing w:after="0" w:line="240" w:lineRule="auto"/>
        <w:rPr>
          <w:rFonts w:ascii="Times New Roman" w:eastAsia="Cambria" w:hAnsi="Times New Roman" w:cs="Times New Roman"/>
          <w:sz w:val="24"/>
          <w:szCs w:val="24"/>
          <w:lang w:val="en-GB"/>
        </w:rPr>
      </w:pPr>
    </w:p>
    <w:p w:rsidR="00507D93" w:rsidRPr="005B7AC3" w:rsidRDefault="00507D93" w:rsidP="00507D93">
      <w:pPr>
        <w:spacing w:after="0" w:line="240"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Nëse person i shembullit “a” me lart,  transferon mbetjet me datën xx.xx.2014 dhe është transferta e parë për vitin kalendarik 2014 pjesa e dytë e Kodit Unik do të jetë: 1401.  Kodi Unik në këtë rast do të jetë: EKL00011401</w:t>
      </w:r>
    </w:p>
    <w:p w:rsidR="00507D93" w:rsidRPr="005B7AC3" w:rsidRDefault="00507D93" w:rsidP="00507D93">
      <w:pPr>
        <w:spacing w:after="0" w:line="240" w:lineRule="auto"/>
        <w:ind w:left="720"/>
        <w:rPr>
          <w:rFonts w:ascii="Times New Roman" w:eastAsia="Cambria" w:hAnsi="Times New Roman" w:cs="Times New Roman"/>
          <w:sz w:val="24"/>
          <w:szCs w:val="24"/>
          <w:lang w:val="en-GB"/>
        </w:rPr>
      </w:pPr>
    </w:p>
    <w:p w:rsidR="00507D93" w:rsidRPr="005B7AC3" w:rsidRDefault="00507D93" w:rsidP="00507D93">
      <w:pPr>
        <w:spacing w:after="0" w:line="240"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Nëse person i shembullit “a” me lart,  transferon mbetjet me datën xx.xx.2014 dhe është transferta e dytë për vitin kalendarik 2014 pjesa e dytë e Kodit Unik do të jetë: 1402.  Kodi Unik në këtë rast do të jetë: EKL00011402</w:t>
      </w:r>
    </w:p>
    <w:p w:rsidR="00507D93" w:rsidRPr="005B7AC3" w:rsidRDefault="00507D93" w:rsidP="00507D93">
      <w:pPr>
        <w:spacing w:after="0" w:line="240" w:lineRule="auto"/>
        <w:rPr>
          <w:rFonts w:ascii="Times New Roman" w:eastAsia="Cambria" w:hAnsi="Times New Roman" w:cs="Times New Roman"/>
          <w:sz w:val="24"/>
          <w:szCs w:val="24"/>
          <w:lang w:val="en-GB"/>
        </w:rPr>
      </w:pPr>
    </w:p>
    <w:p w:rsidR="00507D93" w:rsidRPr="005B7AC3" w:rsidRDefault="00507D93" w:rsidP="00507D93">
      <w:pPr>
        <w:spacing w:after="0" w:line="240" w:lineRule="auto"/>
        <w:rPr>
          <w:rFonts w:ascii="Times New Roman" w:eastAsia="Cambria" w:hAnsi="Times New Roman" w:cs="Times New Roman"/>
          <w:sz w:val="24"/>
          <w:szCs w:val="24"/>
          <w:lang w:val="da-DK"/>
        </w:rPr>
      </w:pPr>
      <w:r w:rsidRPr="005B7AC3">
        <w:rPr>
          <w:rFonts w:ascii="Times New Roman" w:eastAsia="Cambria" w:hAnsi="Times New Roman" w:cs="Times New Roman"/>
          <w:sz w:val="24"/>
          <w:szCs w:val="24"/>
          <w:lang w:val="en-GB"/>
        </w:rPr>
        <w:t xml:space="preserve">Nëse person i shembullit “b” me lart,  transferon mbetjet me datën xx.xx.2015 dhe është transferta e parë për vitin kalendarik 2015 pjesa e dytë e Kodit Unik do të jetë: 1501.  Kodi Unik në këtë rast do të jetë: </w:t>
      </w:r>
      <w:r w:rsidRPr="005B7AC3">
        <w:rPr>
          <w:rFonts w:ascii="Times New Roman" w:eastAsia="Cambria" w:hAnsi="Times New Roman" w:cs="Times New Roman"/>
          <w:sz w:val="24"/>
          <w:szCs w:val="24"/>
          <w:lang w:val="da-DK"/>
        </w:rPr>
        <w:t>GEA00011501</w:t>
      </w:r>
    </w:p>
    <w:p w:rsidR="00507D93" w:rsidRPr="005B7AC3" w:rsidRDefault="00507D93" w:rsidP="00507D93">
      <w:pPr>
        <w:spacing w:after="0" w:line="240" w:lineRule="auto"/>
        <w:rPr>
          <w:rFonts w:ascii="Times New Roman" w:eastAsia="Cambria" w:hAnsi="Times New Roman" w:cs="Times New Roman"/>
          <w:sz w:val="24"/>
          <w:szCs w:val="24"/>
          <w:lang w:val="da-DK"/>
        </w:rPr>
      </w:pPr>
    </w:p>
    <w:p w:rsidR="00507D93" w:rsidRPr="005B7AC3" w:rsidRDefault="00507D93" w:rsidP="00507D93">
      <w:pPr>
        <w:spacing w:after="0" w:line="240" w:lineRule="auto"/>
        <w:rPr>
          <w:rFonts w:ascii="Times New Roman" w:eastAsia="Cambria" w:hAnsi="Times New Roman" w:cs="Times New Roman"/>
          <w:sz w:val="24"/>
          <w:szCs w:val="24"/>
          <w:lang w:val="en-GB"/>
        </w:rPr>
      </w:pPr>
      <w:r w:rsidRPr="005B7AC3">
        <w:rPr>
          <w:rFonts w:ascii="Times New Roman" w:eastAsia="Cambria" w:hAnsi="Times New Roman" w:cs="Times New Roman"/>
          <w:sz w:val="24"/>
          <w:szCs w:val="24"/>
          <w:lang w:val="en-GB"/>
        </w:rPr>
        <w:t xml:space="preserve">Nëse person i shembullit “b” me lart,  transferon mbetjet me datën xx.xx.2015 dhe është transferta e dytë për vitin kalendarik 2015 pjesa e dytë e Kodit Unik do të jetë: 1502.  Kodi Unik në këtë rast do të jetë: </w:t>
      </w:r>
      <w:r w:rsidRPr="005B7AC3">
        <w:rPr>
          <w:rFonts w:ascii="Times New Roman" w:eastAsia="Cambria" w:hAnsi="Times New Roman" w:cs="Times New Roman"/>
          <w:sz w:val="24"/>
          <w:szCs w:val="24"/>
          <w:lang w:val="da-DK"/>
        </w:rPr>
        <w:t>GEA00011502</w:t>
      </w:r>
    </w:p>
    <w:p w:rsidR="00507D93" w:rsidRPr="005B7AC3" w:rsidRDefault="00507D93" w:rsidP="00507D93">
      <w:pPr>
        <w:spacing w:after="0" w:line="240" w:lineRule="auto"/>
        <w:ind w:left="360"/>
        <w:rPr>
          <w:rFonts w:ascii="Cambria" w:eastAsia="Cambria" w:hAnsi="Cambria" w:cs="Times New Roman"/>
          <w:sz w:val="24"/>
          <w:szCs w:val="24"/>
          <w:lang w:val="en-GB"/>
        </w:rPr>
      </w:pPr>
    </w:p>
    <w:p w:rsidR="00507D93" w:rsidRPr="005B7AC3" w:rsidRDefault="00507D93" w:rsidP="00507D93">
      <w:pPr>
        <w:spacing w:after="0" w:line="240" w:lineRule="auto"/>
        <w:rPr>
          <w:rFonts w:ascii="Cambria" w:eastAsia="Cambria" w:hAnsi="Cambria" w:cs="Times New Roman"/>
          <w:sz w:val="24"/>
          <w:szCs w:val="24"/>
          <w:lang w:val="en-GB"/>
        </w:rPr>
      </w:pPr>
    </w:p>
    <w:p w:rsidR="001F1228" w:rsidRPr="005B7AC3" w:rsidRDefault="001F1228">
      <w:pPr>
        <w:rPr>
          <w:sz w:val="24"/>
          <w:szCs w:val="24"/>
        </w:rPr>
      </w:pPr>
    </w:p>
    <w:sectPr w:rsidR="001F1228" w:rsidRPr="005B7AC3" w:rsidSect="00F62844">
      <w:headerReference w:type="even" r:id="rId8"/>
      <w:headerReference w:type="default" r:id="rId9"/>
      <w:footerReference w:type="even" r:id="rId10"/>
      <w:footerReference w:type="default" r:id="rId11"/>
      <w:pgSz w:w="11900" w:h="16840"/>
      <w:pgMar w:top="720" w:right="1800" w:bottom="117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967" w:rsidRDefault="00414967">
      <w:pPr>
        <w:spacing w:after="0" w:line="240" w:lineRule="auto"/>
      </w:pPr>
      <w:r>
        <w:separator/>
      </w:r>
    </w:p>
  </w:endnote>
  <w:endnote w:type="continuationSeparator" w:id="0">
    <w:p w:rsidR="00414967" w:rsidRDefault="0041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panose1 w:val="020406020503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52" w:rsidRDefault="00026B4B" w:rsidP="00DD4552">
    <w:pPr>
      <w:pStyle w:val="Footer"/>
      <w:framePr w:wrap="around" w:vAnchor="text" w:hAnchor="margin" w:xAlign="right" w:y="1"/>
      <w:rPr>
        <w:rStyle w:val="PageNumber"/>
      </w:rPr>
    </w:pPr>
    <w:r>
      <w:rPr>
        <w:rStyle w:val="PageNumber"/>
      </w:rPr>
      <w:fldChar w:fldCharType="begin"/>
    </w:r>
    <w:r w:rsidR="0078564F">
      <w:rPr>
        <w:rStyle w:val="PageNumber"/>
      </w:rPr>
      <w:instrText xml:space="preserve">PAGE  </w:instrText>
    </w:r>
    <w:r>
      <w:rPr>
        <w:rStyle w:val="PageNumber"/>
      </w:rPr>
      <w:fldChar w:fldCharType="end"/>
    </w:r>
  </w:p>
  <w:p w:rsidR="00DD4552" w:rsidRDefault="00414967">
    <w:pPr>
      <w:pStyle w:val="Footer"/>
      <w:tabs>
        <w:tab w:val="clear" w:pos="8640"/>
        <w:tab w:val="right" w:pos="7920"/>
      </w:tabs>
      <w:ind w:right="360"/>
      <w:rPr>
        <w:rFonts w:eastAsia="Times New Roman"/>
        <w:color w:val="auto"/>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52" w:rsidRDefault="00414967">
    <w:pPr>
      <w:pStyle w:val="Footer"/>
      <w:tabs>
        <w:tab w:val="clear" w:pos="8640"/>
        <w:tab w:val="right" w:pos="7920"/>
      </w:tabs>
      <w:ind w:right="360"/>
      <w:rPr>
        <w:rFonts w:eastAsia="Times New Roman"/>
        <w:color w:val="auto"/>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967" w:rsidRDefault="00414967">
      <w:pPr>
        <w:spacing w:after="0" w:line="240" w:lineRule="auto"/>
      </w:pPr>
      <w:r>
        <w:separator/>
      </w:r>
    </w:p>
  </w:footnote>
  <w:footnote w:type="continuationSeparator" w:id="0">
    <w:p w:rsidR="00414967" w:rsidRDefault="0041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52" w:rsidRDefault="0078564F">
    <w:pPr>
      <w:pStyle w:val="FreeForm"/>
      <w:rPr>
        <w:rFonts w:ascii="Times New Roman" w:eastAsia="Times New Roman" w:hAnsi="Times New Roman"/>
        <w:color w:val="auto"/>
      </w:rPr>
    </w:pP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52" w:rsidRDefault="0078564F">
    <w:pPr>
      <w:pStyle w:val="FreeForm"/>
      <w:rPr>
        <w:rFonts w:ascii="Times New Roman" w:eastAsia="Times New Roman" w:hAnsi="Times New Roman"/>
        <w:color w:val="auto"/>
      </w:rPr>
    </w:pPr>
    <w:r>
      <w:br/>
    </w:r>
  </w:p>
  <w:p w:rsidR="00DD4552" w:rsidRDefault="00414967">
    <w:pPr>
      <w:pStyle w:val="FreeForm"/>
      <w:rPr>
        <w:rFonts w:ascii="Times New Roman" w:eastAsia="Times New Roman" w:hAnsi="Times New Roman"/>
        <w:color w:val="auto"/>
      </w:rPr>
    </w:pPr>
    <w:r>
      <w:rPr>
        <w:noProof/>
        <w:lang w:val="en-US"/>
      </w:rPr>
      <w:pict>
        <v:rect id="Rectangle 1" o:spid="_x0000_s2049" style="position:absolute;margin-left:505pt;margin-top:788.65pt;width:7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" stroked="f" strokeweight="1pt">
          <v:path arrowok="t"/>
          <v:textbox inset="0,0,0,0">
            <w:txbxContent>
              <w:p w:rsidR="00DD4552" w:rsidRDefault="00026B4B">
                <w:pPr>
                  <w:pStyle w:val="Footer"/>
                  <w:rPr>
                    <w:rFonts w:eastAsia="Times New Roman"/>
                    <w:color w:val="auto"/>
                    <w:sz w:val="20"/>
                  </w:rPr>
                </w:pPr>
                <w:r>
                  <w:rPr>
                    <w:rStyle w:val="PageNumber"/>
                  </w:rPr>
                  <w:fldChar w:fldCharType="begin"/>
                </w:r>
                <w:r w:rsidR="0078564F">
                  <w:rPr>
                    <w:rStyle w:val="PageNumber"/>
                  </w:rPr>
                  <w:instrText xml:space="preserve"> PAGE </w:instrText>
                </w:r>
                <w:r>
                  <w:rPr>
                    <w:rStyle w:val="PageNumber"/>
                  </w:rPr>
                  <w:fldChar w:fldCharType="separate"/>
                </w:r>
                <w:r w:rsidR="005B7AC3">
                  <w:rPr>
                    <w:rStyle w:val="PageNumber"/>
                    <w:noProof/>
                  </w:rPr>
                  <w:t>1</w:t>
                </w:r>
                <w:r>
                  <w:rPr>
                    <w:rStyle w:val="PageNumber"/>
                  </w:rPr>
                  <w:fldChar w:fldCharType="end"/>
                </w:r>
              </w:p>
            </w:txbxContent>
          </v:textbox>
          <w10:wrap anchorx="page" anchory="page"/>
        </v:rec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2159"/>
    <w:multiLevelType w:val="hybridMultilevel"/>
    <w:tmpl w:val="E5E2A9CA"/>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BE6"/>
    <w:multiLevelType w:val="hybridMultilevel"/>
    <w:tmpl w:val="2A86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A49F3"/>
    <w:multiLevelType w:val="hybridMultilevel"/>
    <w:tmpl w:val="93CEBC94"/>
    <w:lvl w:ilvl="0" w:tplc="887464EE">
      <w:start w:val="6"/>
      <w:numFmt w:val="lowerLetter"/>
      <w:lvlText w:val="%1."/>
      <w:lvlJc w:val="left"/>
      <w:pPr>
        <w:ind w:left="654" w:hanging="360"/>
      </w:pPr>
      <w:rPr>
        <w:rFonts w:hint="default"/>
        <w:sz w:val="22"/>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3" w15:restartNumberingAfterBreak="0">
    <w:nsid w:val="10926B6A"/>
    <w:multiLevelType w:val="hybridMultilevel"/>
    <w:tmpl w:val="C3F040B4"/>
    <w:lvl w:ilvl="0" w:tplc="F9107A64">
      <w:start w:val="6"/>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5F4711"/>
    <w:multiLevelType w:val="hybridMultilevel"/>
    <w:tmpl w:val="83829ED4"/>
    <w:lvl w:ilvl="0" w:tplc="DAC07CFA">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0188F"/>
    <w:multiLevelType w:val="hybridMultilevel"/>
    <w:tmpl w:val="4086DDA4"/>
    <w:lvl w:ilvl="0" w:tplc="6090EA0A">
      <w:start w:val="1"/>
      <w:numFmt w:val="lowerLetter"/>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671B46CC"/>
    <w:multiLevelType w:val="hybridMultilevel"/>
    <w:tmpl w:val="F8A46B22"/>
    <w:lvl w:ilvl="0" w:tplc="614E560E">
      <w:start w:val="1"/>
      <w:numFmt w:val="decimal"/>
      <w:lvlText w:val="%1."/>
      <w:lvlJc w:val="left"/>
      <w:pPr>
        <w:ind w:left="450" w:hanging="360"/>
      </w:pPr>
      <w:rPr>
        <w:rFonts w:hint="default"/>
        <w:b w:val="0"/>
        <w:color w:val="auto"/>
      </w:rPr>
    </w:lvl>
    <w:lvl w:ilvl="1" w:tplc="69C65622">
      <w:start w:val="1"/>
      <w:numFmt w:val="lowerLetter"/>
      <w:lvlText w:val="%2."/>
      <w:lvlJc w:val="left"/>
      <w:pPr>
        <w:ind w:left="630" w:hanging="360"/>
      </w:pPr>
      <w:rPr>
        <w:rFonts w:ascii="Times New Roman" w:eastAsia="ヒラギノ角ゴ Pro W3" w:hAnsi="Times New Roman" w:cs="Times New Roman"/>
      </w:rPr>
    </w:lvl>
    <w:lvl w:ilvl="2" w:tplc="1D8ABA72">
      <w:start w:val="1"/>
      <w:numFmt w:val="lowerRoman"/>
      <w:lvlText w:val="%3."/>
      <w:lvlJc w:val="right"/>
      <w:pPr>
        <w:ind w:left="72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00192"/>
    <w:multiLevelType w:val="hybridMultilevel"/>
    <w:tmpl w:val="6C22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612127"/>
    <w:multiLevelType w:val="hybridMultilevel"/>
    <w:tmpl w:val="189EA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31AE9"/>
    <w:multiLevelType w:val="hybridMultilevel"/>
    <w:tmpl w:val="21BCADBE"/>
    <w:lvl w:ilvl="0" w:tplc="FF3E86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67B6F"/>
    <w:multiLevelType w:val="hybridMultilevel"/>
    <w:tmpl w:val="674C5E2C"/>
    <w:lvl w:ilvl="0" w:tplc="04090019">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921713"/>
    <w:multiLevelType w:val="hybridMultilevel"/>
    <w:tmpl w:val="A5007F8E"/>
    <w:lvl w:ilvl="0" w:tplc="318895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7"/>
  </w:num>
  <w:num w:numId="5">
    <w:abstractNumId w:val="0"/>
  </w:num>
  <w:num w:numId="6">
    <w:abstractNumId w:val="10"/>
  </w:num>
  <w:num w:numId="7">
    <w:abstractNumId w:val="4"/>
  </w:num>
  <w:num w:numId="8">
    <w:abstractNumId w:val="8"/>
  </w:num>
  <w:num w:numId="9">
    <w:abstractNumId w:val="3"/>
  </w:num>
  <w:num w:numId="10">
    <w:abstractNumId w:val="2"/>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7D93"/>
    <w:rsid w:val="00026B4B"/>
    <w:rsid w:val="000330AE"/>
    <w:rsid w:val="000370A7"/>
    <w:rsid w:val="00141964"/>
    <w:rsid w:val="001F1228"/>
    <w:rsid w:val="003371F2"/>
    <w:rsid w:val="003818CB"/>
    <w:rsid w:val="003A3C73"/>
    <w:rsid w:val="00414967"/>
    <w:rsid w:val="004D0863"/>
    <w:rsid w:val="00507D93"/>
    <w:rsid w:val="005B7AC3"/>
    <w:rsid w:val="005D3274"/>
    <w:rsid w:val="005F2B13"/>
    <w:rsid w:val="00636FE8"/>
    <w:rsid w:val="0078564F"/>
    <w:rsid w:val="007C2925"/>
    <w:rsid w:val="008A61D4"/>
    <w:rsid w:val="008B18B9"/>
    <w:rsid w:val="00932828"/>
    <w:rsid w:val="00944BD0"/>
    <w:rsid w:val="009E35DE"/>
    <w:rsid w:val="00C9492C"/>
    <w:rsid w:val="00CB6765"/>
    <w:rsid w:val="00D87A59"/>
    <w:rsid w:val="00F62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966307A-E9D3-420E-A6FA-AF4C5AB3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7D93"/>
  </w:style>
  <w:style w:type="paragraph" w:customStyle="1" w:styleId="ALB-Lawparagraph">
    <w:name w:val="ALB-Law paragraph"/>
    <w:rsid w:val="00507D93"/>
    <w:pPr>
      <w:tabs>
        <w:tab w:val="left" w:pos="397"/>
      </w:tabs>
      <w:spacing w:after="240" w:line="280" w:lineRule="exact"/>
      <w:jc w:val="both"/>
    </w:pPr>
    <w:rPr>
      <w:rFonts w:ascii="Times New Roman" w:eastAsia="ヒラギノ角ゴ Pro W3" w:hAnsi="Times New Roman" w:cs="Times New Roman"/>
      <w:color w:val="000000"/>
      <w:sz w:val="24"/>
      <w:szCs w:val="20"/>
    </w:rPr>
  </w:style>
  <w:style w:type="paragraph" w:customStyle="1" w:styleId="Body">
    <w:name w:val="Body"/>
    <w:rsid w:val="00507D93"/>
    <w:pPr>
      <w:spacing w:after="0" w:line="240" w:lineRule="auto"/>
    </w:pPr>
    <w:rPr>
      <w:rFonts w:ascii="Helvetica" w:eastAsia="ヒラギノ角ゴ Pro W3" w:hAnsi="Helvetica" w:cs="Times New Roman"/>
      <w:color w:val="000000"/>
      <w:sz w:val="24"/>
      <w:szCs w:val="20"/>
      <w:lang w:val="en-GB"/>
    </w:rPr>
  </w:style>
  <w:style w:type="paragraph" w:styleId="BodyTextIndent">
    <w:name w:val="Body Text Indent"/>
    <w:link w:val="BodyTextIndentChar"/>
    <w:rsid w:val="00507D93"/>
    <w:pPr>
      <w:tabs>
        <w:tab w:val="right" w:pos="9356"/>
      </w:tabs>
      <w:spacing w:after="120" w:line="240" w:lineRule="auto"/>
      <w:jc w:val="center"/>
    </w:pPr>
    <w:rPr>
      <w:rFonts w:ascii="Arial" w:eastAsia="ヒラギノ角ゴ Pro W3" w:hAnsi="Arial" w:cs="Times New Roman"/>
      <w:b/>
      <w:caps/>
      <w:color w:val="000000"/>
      <w:sz w:val="28"/>
      <w:szCs w:val="20"/>
      <w:lang w:val="en-GB"/>
    </w:rPr>
  </w:style>
  <w:style w:type="character" w:customStyle="1" w:styleId="BodyTextIndentChar">
    <w:name w:val="Body Text Indent Char"/>
    <w:basedOn w:val="DefaultParagraphFont"/>
    <w:link w:val="BodyTextIndent"/>
    <w:rsid w:val="00507D93"/>
    <w:rPr>
      <w:rFonts w:ascii="Arial" w:eastAsia="ヒラギノ角ゴ Pro W3" w:hAnsi="Arial" w:cs="Times New Roman"/>
      <w:b/>
      <w:caps/>
      <w:color w:val="000000"/>
      <w:sz w:val="28"/>
      <w:szCs w:val="20"/>
      <w:lang w:val="en-GB"/>
    </w:rPr>
  </w:style>
  <w:style w:type="paragraph" w:customStyle="1" w:styleId="ALB-LawPreamble">
    <w:name w:val="ALB-Law Preamble"/>
    <w:rsid w:val="00507D93"/>
    <w:pPr>
      <w:tabs>
        <w:tab w:val="right" w:pos="9356"/>
      </w:tabs>
      <w:spacing w:before="240" w:after="240" w:line="360" w:lineRule="auto"/>
      <w:jc w:val="both"/>
    </w:pPr>
    <w:rPr>
      <w:rFonts w:ascii="Palatino" w:eastAsia="ヒラギノ角ゴ Pro W3" w:hAnsi="Palatino" w:cs="Times New Roman"/>
      <w:color w:val="000000"/>
      <w:szCs w:val="20"/>
      <w:lang w:val="en-GB"/>
    </w:rPr>
  </w:style>
  <w:style w:type="paragraph" w:customStyle="1" w:styleId="ALB-LawTitle">
    <w:name w:val="ALB-Law Title"/>
    <w:rsid w:val="00507D93"/>
    <w:pPr>
      <w:tabs>
        <w:tab w:val="right" w:pos="9356"/>
      </w:tabs>
      <w:spacing w:after="240" w:line="240" w:lineRule="auto"/>
      <w:jc w:val="center"/>
    </w:pPr>
    <w:rPr>
      <w:rFonts w:ascii="Arial" w:eastAsia="ヒラギノ角ゴ Pro W3" w:hAnsi="Arial" w:cs="Times New Roman"/>
      <w:b/>
      <w:color w:val="000000"/>
      <w:sz w:val="20"/>
      <w:szCs w:val="20"/>
      <w:lang w:val="en-GB"/>
    </w:rPr>
  </w:style>
  <w:style w:type="paragraph" w:customStyle="1" w:styleId="FreeForm">
    <w:name w:val="Free Form"/>
    <w:rsid w:val="00507D93"/>
    <w:pPr>
      <w:spacing w:after="0" w:line="240" w:lineRule="auto"/>
    </w:pPr>
    <w:rPr>
      <w:rFonts w:ascii="Cambria" w:eastAsia="ヒラギノ角ゴ Pro W3" w:hAnsi="Cambria" w:cs="Times New Roman"/>
      <w:color w:val="000000"/>
      <w:sz w:val="20"/>
      <w:szCs w:val="20"/>
      <w:lang w:val="sq-AL"/>
    </w:rPr>
  </w:style>
  <w:style w:type="paragraph" w:styleId="Footer">
    <w:name w:val="footer"/>
    <w:link w:val="FooterChar"/>
    <w:rsid w:val="00507D93"/>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customStyle="1" w:styleId="FooterChar">
    <w:name w:val="Footer Char"/>
    <w:basedOn w:val="DefaultParagraphFont"/>
    <w:link w:val="Footer"/>
    <w:rsid w:val="00507D93"/>
    <w:rPr>
      <w:rFonts w:ascii="Times New Roman" w:eastAsia="ヒラギノ角ゴ Pro W3" w:hAnsi="Times New Roman" w:cs="Times New Roman"/>
      <w:color w:val="000000"/>
      <w:sz w:val="24"/>
      <w:szCs w:val="20"/>
    </w:rPr>
  </w:style>
  <w:style w:type="character" w:styleId="PageNumber">
    <w:name w:val="page number"/>
    <w:rsid w:val="00507D93"/>
    <w:rPr>
      <w:color w:val="000000"/>
      <w:sz w:val="20"/>
    </w:rPr>
  </w:style>
  <w:style w:type="paragraph" w:customStyle="1" w:styleId="AR">
    <w:name w:val="AR"/>
    <w:uiPriority w:val="34"/>
    <w:qFormat/>
    <w:rsid w:val="00507D93"/>
    <w:pPr>
      <w:keepNext/>
      <w:keepLines/>
      <w:spacing w:before="120" w:after="120" w:line="240" w:lineRule="auto"/>
      <w:jc w:val="center"/>
    </w:pPr>
    <w:rPr>
      <w:rFonts w:ascii="Times New Roman" w:eastAsia="MS Mincho" w:hAnsi="Times New Roman" w:cs="Times New Roman"/>
      <w:b/>
      <w:sz w:val="24"/>
      <w:szCs w:val="20"/>
      <w:lang w:val="en-GB"/>
    </w:rPr>
  </w:style>
  <w:style w:type="paragraph" w:styleId="ListParagraph">
    <w:name w:val="List Paragraph"/>
    <w:basedOn w:val="Normal"/>
    <w:uiPriority w:val="34"/>
    <w:qFormat/>
    <w:rsid w:val="00507D93"/>
    <w:pPr>
      <w:spacing w:after="0" w:line="240" w:lineRule="auto"/>
      <w:ind w:left="720"/>
    </w:pPr>
    <w:rPr>
      <w:rFonts w:ascii="Cambria" w:eastAsia="Cambria" w:hAnsi="Cambria" w:cs="Times New Roman"/>
      <w:sz w:val="24"/>
      <w:szCs w:val="24"/>
      <w:lang w:val="en-GB"/>
    </w:rPr>
  </w:style>
  <w:style w:type="paragraph" w:styleId="BalloonText">
    <w:name w:val="Balloon Text"/>
    <w:basedOn w:val="Normal"/>
    <w:link w:val="BalloonTextChar"/>
    <w:uiPriority w:val="99"/>
    <w:semiHidden/>
    <w:unhideWhenUsed/>
    <w:rsid w:val="00507D93"/>
    <w:pPr>
      <w:spacing w:after="0" w:line="240" w:lineRule="auto"/>
    </w:pPr>
    <w:rPr>
      <w:rFonts w:ascii="Tahoma" w:eastAsia="Cambria" w:hAnsi="Tahoma" w:cs="Tahoma"/>
      <w:sz w:val="16"/>
      <w:szCs w:val="16"/>
      <w:lang w:val="en-GB"/>
    </w:rPr>
  </w:style>
  <w:style w:type="character" w:customStyle="1" w:styleId="BalloonTextChar">
    <w:name w:val="Balloon Text Char"/>
    <w:basedOn w:val="DefaultParagraphFont"/>
    <w:link w:val="BalloonText"/>
    <w:uiPriority w:val="99"/>
    <w:semiHidden/>
    <w:rsid w:val="00507D93"/>
    <w:rPr>
      <w:rFonts w:ascii="Tahoma" w:eastAsia="Cambria" w:hAnsi="Tahoma" w:cs="Tahoma"/>
      <w:sz w:val="16"/>
      <w:szCs w:val="16"/>
      <w:lang w:val="en-GB"/>
    </w:rPr>
  </w:style>
  <w:style w:type="paragraph" w:styleId="Header">
    <w:name w:val="header"/>
    <w:basedOn w:val="Normal"/>
    <w:link w:val="HeaderChar"/>
    <w:uiPriority w:val="99"/>
    <w:semiHidden/>
    <w:unhideWhenUsed/>
    <w:rsid w:val="00507D93"/>
    <w:pPr>
      <w:tabs>
        <w:tab w:val="center" w:pos="4680"/>
        <w:tab w:val="right" w:pos="9360"/>
      </w:tabs>
      <w:spacing w:after="0" w:line="240" w:lineRule="auto"/>
    </w:pPr>
    <w:rPr>
      <w:rFonts w:ascii="Cambria" w:eastAsia="Cambria" w:hAnsi="Cambria" w:cs="Times New Roman"/>
      <w:sz w:val="24"/>
      <w:szCs w:val="24"/>
      <w:lang w:val="en-GB"/>
    </w:rPr>
  </w:style>
  <w:style w:type="character" w:customStyle="1" w:styleId="HeaderChar">
    <w:name w:val="Header Char"/>
    <w:basedOn w:val="DefaultParagraphFont"/>
    <w:link w:val="Header"/>
    <w:uiPriority w:val="99"/>
    <w:semiHidden/>
    <w:rsid w:val="00507D93"/>
    <w:rPr>
      <w:rFonts w:ascii="Cambria" w:eastAsia="Cambria" w:hAnsi="Cambria" w:cs="Times New Roman"/>
      <w:sz w:val="24"/>
      <w:szCs w:val="24"/>
      <w:lang w:val="en-GB"/>
    </w:rPr>
  </w:style>
  <w:style w:type="character" w:styleId="CommentReference">
    <w:name w:val="annotation reference"/>
    <w:basedOn w:val="DefaultParagraphFont"/>
    <w:uiPriority w:val="99"/>
    <w:semiHidden/>
    <w:unhideWhenUsed/>
    <w:rsid w:val="00507D93"/>
    <w:rPr>
      <w:sz w:val="16"/>
      <w:szCs w:val="16"/>
    </w:rPr>
  </w:style>
  <w:style w:type="paragraph" w:styleId="CommentText">
    <w:name w:val="annotation text"/>
    <w:basedOn w:val="Normal"/>
    <w:link w:val="CommentTextChar"/>
    <w:uiPriority w:val="99"/>
    <w:semiHidden/>
    <w:unhideWhenUsed/>
    <w:rsid w:val="00507D93"/>
    <w:pPr>
      <w:spacing w:after="0" w:line="240" w:lineRule="auto"/>
    </w:pPr>
    <w:rPr>
      <w:rFonts w:ascii="Cambria" w:eastAsia="Cambria" w:hAnsi="Cambria" w:cs="Times New Roman"/>
      <w:sz w:val="20"/>
      <w:szCs w:val="20"/>
      <w:lang w:val="en-GB"/>
    </w:rPr>
  </w:style>
  <w:style w:type="character" w:customStyle="1" w:styleId="CommentTextChar">
    <w:name w:val="Comment Text Char"/>
    <w:basedOn w:val="DefaultParagraphFont"/>
    <w:link w:val="CommentText"/>
    <w:uiPriority w:val="99"/>
    <w:semiHidden/>
    <w:rsid w:val="00507D93"/>
    <w:rPr>
      <w:rFonts w:ascii="Cambria" w:eastAsia="Cambria"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7D93"/>
    <w:rPr>
      <w:b/>
      <w:bCs/>
    </w:rPr>
  </w:style>
  <w:style w:type="character" w:customStyle="1" w:styleId="CommentSubjectChar">
    <w:name w:val="Comment Subject Char"/>
    <w:basedOn w:val="CommentTextChar"/>
    <w:link w:val="CommentSubject"/>
    <w:uiPriority w:val="99"/>
    <w:semiHidden/>
    <w:rsid w:val="00507D93"/>
    <w:rPr>
      <w:rFonts w:ascii="Cambria" w:eastAsia="Cambria" w:hAnsi="Cambria" w:cs="Times New Roman"/>
      <w:b/>
      <w:bCs/>
      <w:sz w:val="20"/>
      <w:szCs w:val="20"/>
      <w:lang w:val="en-GB"/>
    </w:rPr>
  </w:style>
  <w:style w:type="paragraph" w:styleId="BodyText">
    <w:name w:val="Body Text"/>
    <w:basedOn w:val="Normal"/>
    <w:link w:val="BodyTextChar"/>
    <w:uiPriority w:val="99"/>
    <w:semiHidden/>
    <w:unhideWhenUsed/>
    <w:rsid w:val="00507D93"/>
    <w:pPr>
      <w:spacing w:after="120" w:line="240" w:lineRule="auto"/>
    </w:pPr>
    <w:rPr>
      <w:rFonts w:ascii="Cambria" w:eastAsia="Cambria" w:hAnsi="Cambria" w:cs="Times New Roman"/>
      <w:sz w:val="24"/>
      <w:szCs w:val="24"/>
      <w:lang w:val="en-GB"/>
    </w:rPr>
  </w:style>
  <w:style w:type="character" w:customStyle="1" w:styleId="BodyTextChar">
    <w:name w:val="Body Text Char"/>
    <w:basedOn w:val="DefaultParagraphFont"/>
    <w:link w:val="BodyText"/>
    <w:uiPriority w:val="99"/>
    <w:semiHidden/>
    <w:rsid w:val="00507D93"/>
    <w:rPr>
      <w:rFonts w:ascii="Cambria" w:eastAsia="Cambria" w:hAnsi="Cambri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Elsonida Rama</dc:creator>
  <cp:lastModifiedBy>Polikron Horeshka</cp:lastModifiedBy>
  <cp:revision>11</cp:revision>
  <dcterms:created xsi:type="dcterms:W3CDTF">2014-06-19T07:19:00Z</dcterms:created>
  <dcterms:modified xsi:type="dcterms:W3CDTF">2018-08-27T08:39:00Z</dcterms:modified>
</cp:coreProperties>
</file>